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84E1C" w14:textId="77777777" w:rsidR="006A39B9" w:rsidRPr="00365900" w:rsidRDefault="006A39B9" w:rsidP="00860758">
      <w:pPr>
        <w:rPr>
          <w:rFonts w:cstheme="minorHAnsi"/>
          <w:sz w:val="32"/>
          <w:szCs w:val="32"/>
          <w:lang w:val="nl-BE"/>
        </w:rPr>
      </w:pPr>
      <w:r w:rsidRPr="00365900">
        <w:rPr>
          <w:rFonts w:cstheme="minorHAnsi"/>
          <w:sz w:val="32"/>
          <w:szCs w:val="32"/>
          <w:lang w:val="nl-BE"/>
        </w:rPr>
        <w:t xml:space="preserve">Risico voor de ontwikkeling van het Hemolytisch </w:t>
      </w:r>
      <w:proofErr w:type="spellStart"/>
      <w:r w:rsidRPr="00365900">
        <w:rPr>
          <w:rFonts w:cstheme="minorHAnsi"/>
          <w:sz w:val="32"/>
          <w:szCs w:val="32"/>
          <w:lang w:val="nl-BE"/>
        </w:rPr>
        <w:t>Uremisch</w:t>
      </w:r>
      <w:proofErr w:type="spellEnd"/>
      <w:r w:rsidRPr="00365900">
        <w:rPr>
          <w:rFonts w:cstheme="minorHAnsi"/>
          <w:sz w:val="32"/>
          <w:szCs w:val="32"/>
          <w:lang w:val="nl-BE"/>
        </w:rPr>
        <w:t xml:space="preserve"> Syndroom</w:t>
      </w:r>
    </w:p>
    <w:p w14:paraId="3B577C70" w14:textId="26C98800" w:rsidR="00184F83" w:rsidRPr="00184F83" w:rsidRDefault="00C33DF9" w:rsidP="00860758">
      <w:pPr>
        <w:rPr>
          <w:rFonts w:cstheme="minorHAnsi"/>
          <w:b/>
          <w:lang w:val="nl-BE"/>
        </w:rPr>
      </w:pPr>
      <w:r>
        <w:rPr>
          <w:rFonts w:cstheme="minorHAnsi"/>
          <w:b/>
          <w:lang w:val="nl-BE"/>
        </w:rPr>
        <w:t>Achtergrond</w:t>
      </w:r>
    </w:p>
    <w:p w14:paraId="264DB32D" w14:textId="2572EB84" w:rsidR="00860758" w:rsidRDefault="00673C5E" w:rsidP="00687776">
      <w:pPr>
        <w:jc w:val="both"/>
        <w:rPr>
          <w:rFonts w:cstheme="minorHAnsi"/>
          <w:lang w:val="nl-BE"/>
        </w:rPr>
      </w:pPr>
      <w:r>
        <w:rPr>
          <w:rFonts w:cstheme="minorHAnsi"/>
          <w:lang w:val="nl-BE"/>
        </w:rPr>
        <w:t xml:space="preserve">Infecties met </w:t>
      </w:r>
      <w:proofErr w:type="spellStart"/>
      <w:r>
        <w:rPr>
          <w:rFonts w:cstheme="minorHAnsi"/>
          <w:lang w:val="nl-BE"/>
        </w:rPr>
        <w:t>Shiga</w:t>
      </w:r>
      <w:proofErr w:type="spellEnd"/>
      <w:r>
        <w:rPr>
          <w:rFonts w:cstheme="minorHAnsi"/>
          <w:lang w:val="nl-BE"/>
        </w:rPr>
        <w:t xml:space="preserve"> toxine-producerende </w:t>
      </w:r>
      <w:r w:rsidRPr="00673C5E">
        <w:rPr>
          <w:rFonts w:cstheme="minorHAnsi"/>
          <w:i/>
          <w:lang w:val="nl-BE"/>
        </w:rPr>
        <w:t>E. coli</w:t>
      </w:r>
      <w:r>
        <w:rPr>
          <w:rFonts w:cstheme="minorHAnsi"/>
          <w:lang w:val="nl-BE"/>
        </w:rPr>
        <w:t xml:space="preserve"> (STEC)</w:t>
      </w:r>
      <w:r w:rsidR="00B4715D">
        <w:rPr>
          <w:rFonts w:cstheme="minorHAnsi"/>
          <w:lang w:val="nl-BE"/>
        </w:rPr>
        <w:t xml:space="preserve">, ook wel </w:t>
      </w:r>
      <w:proofErr w:type="spellStart"/>
      <w:r w:rsidR="00B4715D">
        <w:rPr>
          <w:rFonts w:cstheme="minorHAnsi"/>
          <w:lang w:val="nl-BE"/>
        </w:rPr>
        <w:t>enterohemorragische</w:t>
      </w:r>
      <w:proofErr w:type="spellEnd"/>
      <w:r w:rsidR="00B4715D">
        <w:rPr>
          <w:rFonts w:cstheme="minorHAnsi"/>
          <w:lang w:val="nl-BE"/>
        </w:rPr>
        <w:t xml:space="preserve"> </w:t>
      </w:r>
      <w:r w:rsidR="00B4715D" w:rsidRPr="00B4715D">
        <w:rPr>
          <w:rFonts w:cstheme="minorHAnsi"/>
          <w:i/>
          <w:lang w:val="nl-BE"/>
        </w:rPr>
        <w:t>E. coli</w:t>
      </w:r>
      <w:r w:rsidR="00B4715D">
        <w:rPr>
          <w:rFonts w:cstheme="minorHAnsi"/>
          <w:lang w:val="nl-BE"/>
        </w:rPr>
        <w:t xml:space="preserve"> (EHEC) genoemd,</w:t>
      </w:r>
      <w:r>
        <w:rPr>
          <w:rFonts w:cstheme="minorHAnsi"/>
          <w:lang w:val="nl-BE"/>
        </w:rPr>
        <w:t xml:space="preserve"> behoren </w:t>
      </w:r>
      <w:r w:rsidR="00FC1C24">
        <w:rPr>
          <w:rFonts w:cstheme="minorHAnsi"/>
          <w:lang w:val="nl-BE"/>
        </w:rPr>
        <w:t>i</w:t>
      </w:r>
      <w:r w:rsidR="00860758">
        <w:rPr>
          <w:rFonts w:cstheme="minorHAnsi"/>
          <w:lang w:val="nl-BE"/>
        </w:rPr>
        <w:t xml:space="preserve">n België </w:t>
      </w:r>
      <w:r>
        <w:rPr>
          <w:rFonts w:cstheme="minorHAnsi"/>
          <w:lang w:val="nl-BE"/>
        </w:rPr>
        <w:t>tot de</w:t>
      </w:r>
      <w:r w:rsidR="00860758">
        <w:rPr>
          <w:rFonts w:cstheme="minorHAnsi"/>
          <w:lang w:val="nl-BE"/>
        </w:rPr>
        <w:t xml:space="preserve"> </w:t>
      </w:r>
      <w:proofErr w:type="spellStart"/>
      <w:r w:rsidR="00236584">
        <w:rPr>
          <w:rFonts w:cstheme="minorHAnsi"/>
          <w:lang w:val="nl-BE"/>
        </w:rPr>
        <w:t>meldingsplichtige</w:t>
      </w:r>
      <w:proofErr w:type="spellEnd"/>
      <w:r w:rsidR="00236584">
        <w:rPr>
          <w:rFonts w:cstheme="minorHAnsi"/>
          <w:lang w:val="nl-BE"/>
        </w:rPr>
        <w:t xml:space="preserve"> ziekten.</w:t>
      </w:r>
      <w:r w:rsidR="00860758">
        <w:rPr>
          <w:rFonts w:cstheme="minorHAnsi"/>
          <w:lang w:val="nl-BE"/>
        </w:rPr>
        <w:t xml:space="preserve"> </w:t>
      </w:r>
      <w:r w:rsidR="00236584">
        <w:rPr>
          <w:rFonts w:cstheme="minorHAnsi"/>
          <w:lang w:val="nl-BE"/>
        </w:rPr>
        <w:t xml:space="preserve">De </w:t>
      </w:r>
      <w:r w:rsidR="00860758">
        <w:rPr>
          <w:rFonts w:cstheme="minorHAnsi"/>
          <w:lang w:val="nl-BE"/>
        </w:rPr>
        <w:t>gezondheidsinspectie onderzoek</w:t>
      </w:r>
      <w:r w:rsidR="00236584">
        <w:rPr>
          <w:rFonts w:cstheme="minorHAnsi"/>
          <w:lang w:val="nl-BE"/>
        </w:rPr>
        <w:t>t</w:t>
      </w:r>
      <w:r w:rsidR="00860758">
        <w:rPr>
          <w:rFonts w:cstheme="minorHAnsi"/>
          <w:lang w:val="nl-BE"/>
        </w:rPr>
        <w:t xml:space="preserve"> elke melding en </w:t>
      </w:r>
      <w:r w:rsidR="00236584">
        <w:rPr>
          <w:rFonts w:cstheme="minorHAnsi"/>
          <w:lang w:val="nl-BE"/>
        </w:rPr>
        <w:t>treft de nodige</w:t>
      </w:r>
      <w:r w:rsidR="00860758">
        <w:rPr>
          <w:rFonts w:cstheme="minorHAnsi"/>
          <w:lang w:val="nl-BE"/>
        </w:rPr>
        <w:t xml:space="preserve"> maatregelen om verdere verspreiding</w:t>
      </w:r>
      <w:r>
        <w:rPr>
          <w:rFonts w:cstheme="minorHAnsi"/>
          <w:lang w:val="nl-BE"/>
        </w:rPr>
        <w:t xml:space="preserve"> van de ziekte</w:t>
      </w:r>
      <w:r w:rsidR="00860758">
        <w:rPr>
          <w:rFonts w:cstheme="minorHAnsi"/>
          <w:lang w:val="nl-BE"/>
        </w:rPr>
        <w:t xml:space="preserve"> tegen te gaan of </w:t>
      </w:r>
      <w:r>
        <w:rPr>
          <w:rFonts w:cstheme="minorHAnsi"/>
          <w:lang w:val="nl-BE"/>
        </w:rPr>
        <w:t xml:space="preserve">om mogelijke </w:t>
      </w:r>
      <w:r w:rsidR="00860758">
        <w:rPr>
          <w:rFonts w:cstheme="minorHAnsi"/>
          <w:lang w:val="nl-BE"/>
        </w:rPr>
        <w:t>uitbra</w:t>
      </w:r>
      <w:r w:rsidR="00B278B1">
        <w:rPr>
          <w:rFonts w:cstheme="minorHAnsi"/>
          <w:lang w:val="nl-BE"/>
        </w:rPr>
        <w:t>ken</w:t>
      </w:r>
      <w:r w:rsidR="00860758">
        <w:rPr>
          <w:rFonts w:cstheme="minorHAnsi"/>
          <w:lang w:val="nl-BE"/>
        </w:rPr>
        <w:t xml:space="preserve"> </w:t>
      </w:r>
      <w:r w:rsidR="00236584">
        <w:rPr>
          <w:rFonts w:cstheme="minorHAnsi"/>
          <w:lang w:val="nl-BE"/>
        </w:rPr>
        <w:t xml:space="preserve">te </w:t>
      </w:r>
      <w:r w:rsidR="00860758">
        <w:rPr>
          <w:rFonts w:cstheme="minorHAnsi"/>
          <w:lang w:val="nl-BE"/>
        </w:rPr>
        <w:t>onderzoek</w:t>
      </w:r>
      <w:r w:rsidR="00236584">
        <w:rPr>
          <w:rFonts w:cstheme="minorHAnsi"/>
          <w:lang w:val="nl-BE"/>
        </w:rPr>
        <w:t>en</w:t>
      </w:r>
      <w:r w:rsidR="00860758">
        <w:rPr>
          <w:rFonts w:cstheme="minorHAnsi"/>
          <w:lang w:val="nl-BE"/>
        </w:rPr>
        <w:t xml:space="preserve">. </w:t>
      </w:r>
      <w:r w:rsidR="00184F83">
        <w:rPr>
          <w:rFonts w:cstheme="minorHAnsi"/>
          <w:lang w:val="nl-BE"/>
        </w:rPr>
        <w:t xml:space="preserve">Informatie over de risicofactoren voor de ontwikkeling van het hemolytisch </w:t>
      </w:r>
      <w:proofErr w:type="spellStart"/>
      <w:r w:rsidR="00184F83">
        <w:rPr>
          <w:rFonts w:cstheme="minorHAnsi"/>
          <w:lang w:val="nl-BE"/>
        </w:rPr>
        <w:t>uremisch</w:t>
      </w:r>
      <w:proofErr w:type="spellEnd"/>
      <w:r w:rsidR="00184F83">
        <w:rPr>
          <w:rFonts w:cstheme="minorHAnsi"/>
          <w:lang w:val="nl-BE"/>
        </w:rPr>
        <w:t xml:space="preserve"> syndroom (HUS) k</w:t>
      </w:r>
      <w:r w:rsidR="00B278B1">
        <w:rPr>
          <w:rFonts w:cstheme="minorHAnsi"/>
          <w:lang w:val="nl-BE"/>
        </w:rPr>
        <w:t>an</w:t>
      </w:r>
      <w:r w:rsidR="00184F83">
        <w:rPr>
          <w:rFonts w:cstheme="minorHAnsi"/>
          <w:lang w:val="nl-BE"/>
        </w:rPr>
        <w:t xml:space="preserve"> helpen bij het </w:t>
      </w:r>
      <w:r w:rsidR="00B278B1">
        <w:rPr>
          <w:rFonts w:cstheme="minorHAnsi"/>
          <w:lang w:val="nl-BE"/>
        </w:rPr>
        <w:t>bepalen van het beleid</w:t>
      </w:r>
      <w:r w:rsidR="00184F83">
        <w:rPr>
          <w:rFonts w:cstheme="minorHAnsi"/>
          <w:lang w:val="nl-BE"/>
        </w:rPr>
        <w:t>. Voorgaande studies toond</w:t>
      </w:r>
      <w:r w:rsidR="00B4715D">
        <w:rPr>
          <w:rFonts w:cstheme="minorHAnsi"/>
          <w:lang w:val="nl-BE"/>
        </w:rPr>
        <w:t>en aan dat de aanwezigheid van het</w:t>
      </w:r>
      <w:r w:rsidR="00184F83">
        <w:rPr>
          <w:rFonts w:cstheme="minorHAnsi"/>
          <w:lang w:val="nl-BE"/>
        </w:rPr>
        <w:t xml:space="preserve"> STEC </w:t>
      </w:r>
      <w:proofErr w:type="spellStart"/>
      <w:r w:rsidR="00B4715D">
        <w:rPr>
          <w:rFonts w:cstheme="minorHAnsi"/>
          <w:lang w:val="nl-BE"/>
        </w:rPr>
        <w:t>Shiga</w:t>
      </w:r>
      <w:proofErr w:type="spellEnd"/>
      <w:r w:rsidR="00B4715D">
        <w:rPr>
          <w:rFonts w:cstheme="minorHAnsi"/>
          <w:lang w:val="nl-BE"/>
        </w:rPr>
        <w:t xml:space="preserve"> toxine gen type 2</w:t>
      </w:r>
      <w:r w:rsidR="00184F83">
        <w:rPr>
          <w:rFonts w:cstheme="minorHAnsi"/>
          <w:lang w:val="nl-BE"/>
        </w:rPr>
        <w:t xml:space="preserve"> </w:t>
      </w:r>
      <w:r w:rsidR="00B4715D">
        <w:rPr>
          <w:rFonts w:cstheme="minorHAnsi"/>
          <w:lang w:val="nl-BE"/>
        </w:rPr>
        <w:t>(</w:t>
      </w:r>
      <w:r w:rsidR="00184F83" w:rsidRPr="00184F83">
        <w:rPr>
          <w:rFonts w:cstheme="minorHAnsi"/>
          <w:i/>
          <w:lang w:val="nl-BE"/>
        </w:rPr>
        <w:t>stx2</w:t>
      </w:r>
      <w:r w:rsidR="00B4715D">
        <w:rPr>
          <w:rFonts w:cstheme="minorHAnsi"/>
          <w:lang w:val="nl-BE"/>
        </w:rPr>
        <w:t>)</w:t>
      </w:r>
      <w:r w:rsidR="00184F83">
        <w:rPr>
          <w:rFonts w:cstheme="minorHAnsi"/>
          <w:lang w:val="nl-BE"/>
        </w:rPr>
        <w:t xml:space="preserve">, </w:t>
      </w:r>
      <w:r w:rsidR="00B278B1">
        <w:rPr>
          <w:rFonts w:cstheme="minorHAnsi"/>
          <w:lang w:val="nl-BE"/>
        </w:rPr>
        <w:t>in het bijzonder</w:t>
      </w:r>
      <w:r w:rsidR="00B278B1" w:rsidRPr="00184F83">
        <w:rPr>
          <w:rFonts w:cstheme="minorHAnsi"/>
          <w:i/>
          <w:lang w:val="nl-BE"/>
        </w:rPr>
        <w:t xml:space="preserve"> </w:t>
      </w:r>
      <w:r w:rsidR="00184F83" w:rsidRPr="00184F83">
        <w:rPr>
          <w:rFonts w:cstheme="minorHAnsi"/>
          <w:i/>
          <w:lang w:val="nl-BE"/>
        </w:rPr>
        <w:t>stx2a</w:t>
      </w:r>
      <w:r w:rsidR="00184F83">
        <w:rPr>
          <w:rFonts w:cstheme="minorHAnsi"/>
          <w:lang w:val="nl-BE"/>
        </w:rPr>
        <w:t xml:space="preserve"> en </w:t>
      </w:r>
      <w:r w:rsidR="00184F83" w:rsidRPr="00184F83">
        <w:rPr>
          <w:rFonts w:cstheme="minorHAnsi"/>
          <w:i/>
          <w:lang w:val="nl-BE"/>
        </w:rPr>
        <w:t>stx2d</w:t>
      </w:r>
      <w:r w:rsidR="00184F83">
        <w:rPr>
          <w:rFonts w:cstheme="minorHAnsi"/>
          <w:lang w:val="nl-BE"/>
        </w:rPr>
        <w:t>,</w:t>
      </w:r>
      <w:r w:rsidR="00B4715D">
        <w:rPr>
          <w:rFonts w:cstheme="minorHAnsi"/>
          <w:lang w:val="nl-BE"/>
        </w:rPr>
        <w:t xml:space="preserve"> en het virulentie gen</w:t>
      </w:r>
      <w:r w:rsidR="00184F83">
        <w:rPr>
          <w:rFonts w:cstheme="minorHAnsi"/>
          <w:lang w:val="nl-BE"/>
        </w:rPr>
        <w:t xml:space="preserve"> </w:t>
      </w:r>
      <w:proofErr w:type="spellStart"/>
      <w:r w:rsidR="00184F83" w:rsidRPr="00184F83">
        <w:rPr>
          <w:rFonts w:cstheme="minorHAnsi"/>
          <w:i/>
          <w:lang w:val="nl-BE"/>
        </w:rPr>
        <w:t>eaeA</w:t>
      </w:r>
      <w:proofErr w:type="spellEnd"/>
      <w:r w:rsidR="00184F83">
        <w:rPr>
          <w:rFonts w:cstheme="minorHAnsi"/>
          <w:lang w:val="nl-BE"/>
        </w:rPr>
        <w:t xml:space="preserve"> (intimine), </w:t>
      </w:r>
      <w:r w:rsidR="00B4715D">
        <w:rPr>
          <w:rFonts w:cstheme="minorHAnsi"/>
          <w:lang w:val="nl-BE"/>
        </w:rPr>
        <w:t xml:space="preserve">net als </w:t>
      </w:r>
      <w:r w:rsidR="00184F83">
        <w:rPr>
          <w:rFonts w:cstheme="minorHAnsi"/>
          <w:lang w:val="nl-BE"/>
        </w:rPr>
        <w:t xml:space="preserve">jonge </w:t>
      </w:r>
      <w:r w:rsidR="00B278B1">
        <w:rPr>
          <w:rFonts w:cstheme="minorHAnsi"/>
          <w:lang w:val="nl-BE"/>
        </w:rPr>
        <w:t xml:space="preserve">of hoge </w:t>
      </w:r>
      <w:r w:rsidR="00184F83">
        <w:rPr>
          <w:rFonts w:cstheme="minorHAnsi"/>
          <w:lang w:val="nl-BE"/>
        </w:rPr>
        <w:t>leeftijd</w:t>
      </w:r>
      <w:r w:rsidR="00B278B1">
        <w:rPr>
          <w:rFonts w:cstheme="minorHAnsi"/>
          <w:lang w:val="nl-BE"/>
        </w:rPr>
        <w:t>en</w:t>
      </w:r>
      <w:r w:rsidR="00184F83">
        <w:rPr>
          <w:rFonts w:cstheme="minorHAnsi"/>
          <w:lang w:val="nl-BE"/>
        </w:rPr>
        <w:t xml:space="preserve"> risicofactoren zijn voor HUS ontwikkeling. Sinds de grootschalige epidemie met de hybride </w:t>
      </w:r>
      <w:proofErr w:type="spellStart"/>
      <w:r w:rsidR="00184F83">
        <w:rPr>
          <w:rFonts w:cstheme="minorHAnsi"/>
          <w:lang w:val="nl-BE"/>
        </w:rPr>
        <w:t>enteroaggregatieve</w:t>
      </w:r>
      <w:proofErr w:type="spellEnd"/>
      <w:r w:rsidR="00184F83">
        <w:rPr>
          <w:rFonts w:cstheme="minorHAnsi"/>
          <w:lang w:val="nl-BE"/>
        </w:rPr>
        <w:t xml:space="preserve"> STEC O104:H4 in Duitsland in 2011 worden de combinatie van </w:t>
      </w:r>
      <w:proofErr w:type="spellStart"/>
      <w:r w:rsidR="00184F83">
        <w:rPr>
          <w:rFonts w:cstheme="minorHAnsi"/>
          <w:lang w:val="nl-BE"/>
        </w:rPr>
        <w:t>Shiga</w:t>
      </w:r>
      <w:proofErr w:type="spellEnd"/>
      <w:r w:rsidR="00184F83">
        <w:rPr>
          <w:rFonts w:cstheme="minorHAnsi"/>
          <w:lang w:val="nl-BE"/>
        </w:rPr>
        <w:t xml:space="preserve"> toxine genen</w:t>
      </w:r>
      <w:r w:rsidR="00687776">
        <w:rPr>
          <w:rFonts w:cstheme="minorHAnsi"/>
          <w:lang w:val="nl-BE"/>
        </w:rPr>
        <w:t xml:space="preserve"> en</w:t>
      </w:r>
      <w:r w:rsidR="00184F83">
        <w:rPr>
          <w:rFonts w:cstheme="minorHAnsi"/>
          <w:lang w:val="nl-BE"/>
        </w:rPr>
        <w:t xml:space="preserve"> </w:t>
      </w:r>
      <w:proofErr w:type="spellStart"/>
      <w:r w:rsidR="00184F83">
        <w:rPr>
          <w:rFonts w:cstheme="minorHAnsi"/>
          <w:lang w:val="nl-BE"/>
        </w:rPr>
        <w:t>enteroaggregatieve</w:t>
      </w:r>
      <w:proofErr w:type="spellEnd"/>
      <w:r w:rsidR="00184F83">
        <w:rPr>
          <w:rFonts w:cstheme="minorHAnsi"/>
          <w:lang w:val="nl-BE"/>
        </w:rPr>
        <w:t xml:space="preserve"> merkers </w:t>
      </w:r>
      <w:r w:rsidR="00D8536C">
        <w:rPr>
          <w:rFonts w:cstheme="minorHAnsi"/>
          <w:lang w:val="nl-BE"/>
        </w:rPr>
        <w:t>(</w:t>
      </w:r>
      <w:proofErr w:type="spellStart"/>
      <w:r w:rsidR="00D8536C">
        <w:rPr>
          <w:rFonts w:cstheme="minorHAnsi"/>
          <w:lang w:val="nl-BE"/>
        </w:rPr>
        <w:t>oa</w:t>
      </w:r>
      <w:proofErr w:type="spellEnd"/>
      <w:r w:rsidR="00D8536C">
        <w:rPr>
          <w:rFonts w:cstheme="minorHAnsi"/>
          <w:lang w:val="nl-BE"/>
        </w:rPr>
        <w:t xml:space="preserve">. </w:t>
      </w:r>
      <w:proofErr w:type="spellStart"/>
      <w:r w:rsidR="00D8536C" w:rsidRPr="00D8536C">
        <w:rPr>
          <w:rFonts w:cstheme="minorHAnsi"/>
          <w:i/>
          <w:lang w:val="nl-BE"/>
        </w:rPr>
        <w:t>aaiC</w:t>
      </w:r>
      <w:proofErr w:type="spellEnd"/>
      <w:r w:rsidR="00D8536C" w:rsidRPr="00D8536C">
        <w:rPr>
          <w:rFonts w:cstheme="minorHAnsi"/>
          <w:i/>
          <w:lang w:val="nl-BE"/>
        </w:rPr>
        <w:t xml:space="preserve">, </w:t>
      </w:r>
      <w:proofErr w:type="spellStart"/>
      <w:r w:rsidR="00D8536C" w:rsidRPr="00D8536C">
        <w:rPr>
          <w:rFonts w:cstheme="minorHAnsi"/>
          <w:i/>
          <w:lang w:val="nl-BE"/>
        </w:rPr>
        <w:t>aggR</w:t>
      </w:r>
      <w:proofErr w:type="spellEnd"/>
      <w:r w:rsidR="00D8536C">
        <w:rPr>
          <w:rFonts w:cstheme="minorHAnsi"/>
          <w:lang w:val="nl-BE"/>
        </w:rPr>
        <w:t xml:space="preserve">) </w:t>
      </w:r>
      <w:r w:rsidR="00184F83">
        <w:rPr>
          <w:rFonts w:cstheme="minorHAnsi"/>
          <w:lang w:val="nl-BE"/>
        </w:rPr>
        <w:t xml:space="preserve">ook als hoog risico beschouwd (Scheutz </w:t>
      </w:r>
      <w:r w:rsidR="00184F83" w:rsidRPr="00184F83">
        <w:rPr>
          <w:rFonts w:cstheme="minorHAnsi"/>
          <w:i/>
          <w:lang w:val="nl-BE"/>
        </w:rPr>
        <w:t>et al.</w:t>
      </w:r>
      <w:r w:rsidR="00184F83">
        <w:rPr>
          <w:rFonts w:cstheme="minorHAnsi"/>
          <w:lang w:val="nl-BE"/>
        </w:rPr>
        <w:t xml:space="preserve"> 2014; </w:t>
      </w:r>
      <w:proofErr w:type="spellStart"/>
      <w:r w:rsidR="00184F83">
        <w:rPr>
          <w:rFonts w:cstheme="minorHAnsi"/>
          <w:lang w:val="nl-BE"/>
        </w:rPr>
        <w:t>Brandal</w:t>
      </w:r>
      <w:proofErr w:type="spellEnd"/>
      <w:r w:rsidR="00184F83">
        <w:rPr>
          <w:rFonts w:cstheme="minorHAnsi"/>
          <w:lang w:val="nl-BE"/>
        </w:rPr>
        <w:t xml:space="preserve"> </w:t>
      </w:r>
      <w:r w:rsidR="00184F83" w:rsidRPr="00184F83">
        <w:rPr>
          <w:rFonts w:cstheme="minorHAnsi"/>
          <w:i/>
          <w:lang w:val="nl-BE"/>
        </w:rPr>
        <w:t>et al.</w:t>
      </w:r>
      <w:r w:rsidR="00184F83">
        <w:rPr>
          <w:rFonts w:cstheme="minorHAnsi"/>
          <w:lang w:val="nl-BE"/>
        </w:rPr>
        <w:t xml:space="preserve"> 2015).</w:t>
      </w:r>
    </w:p>
    <w:p w14:paraId="1BED8EE7" w14:textId="45900373" w:rsidR="00673C5E" w:rsidRPr="00C33DF9" w:rsidRDefault="00673C5E" w:rsidP="00673C5E">
      <w:pPr>
        <w:jc w:val="both"/>
        <w:rPr>
          <w:rFonts w:cstheme="minorHAnsi"/>
          <w:lang w:val="nl-BE"/>
        </w:rPr>
      </w:pPr>
      <w:r>
        <w:rPr>
          <w:rFonts w:cstheme="minorHAnsi"/>
          <w:lang w:val="nl-BE"/>
        </w:rPr>
        <w:t>Om inzicht te krijgen in de risicofactoren voor de ontwikkeling van typische HUS in België heeft het NRC een statistische analyse uitgevoerd op een dataset van STEC stammen die geïsoleerd en getypeerd werden tussen 2011 en 2016.</w:t>
      </w:r>
      <w:r w:rsidRPr="00C33DF9">
        <w:rPr>
          <w:lang w:val="nl-BE"/>
        </w:rPr>
        <w:t xml:space="preserve"> </w:t>
      </w:r>
      <w:r w:rsidRPr="00C33DF9">
        <w:rPr>
          <w:rFonts w:cstheme="minorHAnsi"/>
          <w:lang w:val="nl-BE"/>
        </w:rPr>
        <w:t>Gebaseerd op deze resultaten stellen we een aangepast STEC typeringsalgoritme</w:t>
      </w:r>
      <w:r>
        <w:rPr>
          <w:rFonts w:cstheme="minorHAnsi"/>
          <w:lang w:val="nl-BE"/>
        </w:rPr>
        <w:t xml:space="preserve"> en</w:t>
      </w:r>
      <w:r w:rsidR="00B4715D">
        <w:rPr>
          <w:rFonts w:cstheme="minorHAnsi"/>
          <w:lang w:val="nl-BE"/>
        </w:rPr>
        <w:t xml:space="preserve"> een nieuwe risico</w:t>
      </w:r>
      <w:r>
        <w:rPr>
          <w:rFonts w:cstheme="minorHAnsi"/>
          <w:lang w:val="nl-BE"/>
        </w:rPr>
        <w:t>classificatie</w:t>
      </w:r>
      <w:r w:rsidRPr="00C33DF9">
        <w:rPr>
          <w:rFonts w:cstheme="minorHAnsi"/>
          <w:lang w:val="nl-BE"/>
        </w:rPr>
        <w:t xml:space="preserve"> voor om onze gezondheidsa</w:t>
      </w:r>
      <w:r>
        <w:rPr>
          <w:rFonts w:cstheme="minorHAnsi"/>
          <w:lang w:val="nl-BE"/>
        </w:rPr>
        <w:t>utoriteiten zo goed mogelijk te informeren.</w:t>
      </w:r>
    </w:p>
    <w:p w14:paraId="2B3C94E3" w14:textId="77777777" w:rsidR="00870F4D" w:rsidRPr="00D319D0" w:rsidRDefault="00870F4D" w:rsidP="00870F4D">
      <w:pPr>
        <w:spacing w:after="0" w:line="480" w:lineRule="auto"/>
        <w:jc w:val="both"/>
        <w:rPr>
          <w:rFonts w:cstheme="minorHAnsi"/>
          <w:b/>
          <w:lang w:val="nl-BE"/>
        </w:rPr>
      </w:pPr>
      <w:r w:rsidRPr="00D319D0">
        <w:rPr>
          <w:rFonts w:cstheme="minorHAnsi"/>
          <w:b/>
          <w:lang w:val="nl-BE"/>
        </w:rPr>
        <w:t>Statistische analyse</w:t>
      </w:r>
      <w:r>
        <w:rPr>
          <w:rFonts w:cstheme="minorHAnsi"/>
          <w:b/>
          <w:lang w:val="nl-BE"/>
        </w:rPr>
        <w:t xml:space="preserve"> </w:t>
      </w:r>
      <w:r w:rsidRPr="001644A9">
        <w:rPr>
          <w:rFonts w:cstheme="minorHAnsi"/>
          <w:lang w:val="nl-BE"/>
        </w:rPr>
        <w:t>(publicatie in voorbereiding)</w:t>
      </w:r>
    </w:p>
    <w:p w14:paraId="4EF7E02F" w14:textId="2701EE75" w:rsidR="000734B8" w:rsidRPr="00060EA7" w:rsidRDefault="000734B8" w:rsidP="0000165E">
      <w:pPr>
        <w:jc w:val="both"/>
        <w:rPr>
          <w:lang w:val="nl-BE"/>
        </w:rPr>
      </w:pPr>
      <w:r w:rsidRPr="000734B8">
        <w:rPr>
          <w:lang w:val="nl-BE"/>
        </w:rPr>
        <w:t>Een totaal van 411 STEC stammen ge</w:t>
      </w:r>
      <w:r>
        <w:rPr>
          <w:lang w:val="nl-BE"/>
        </w:rPr>
        <w:t xml:space="preserve">ïsoleerd tussen 2011 en 2016 werden geselecteerd uit </w:t>
      </w:r>
      <w:r w:rsidR="00673C5E">
        <w:rPr>
          <w:lang w:val="nl-BE"/>
        </w:rPr>
        <w:t>de</w:t>
      </w:r>
      <w:r w:rsidRPr="000734B8">
        <w:rPr>
          <w:lang w:val="nl-BE"/>
        </w:rPr>
        <w:t xml:space="preserve"> NRC database</w:t>
      </w:r>
      <w:r>
        <w:rPr>
          <w:lang w:val="nl-BE"/>
        </w:rPr>
        <w:t xml:space="preserve">. </w:t>
      </w:r>
      <w:r w:rsidRPr="000734B8">
        <w:rPr>
          <w:lang w:val="nl-BE"/>
        </w:rPr>
        <w:t xml:space="preserve">Deze database bevat </w:t>
      </w:r>
      <w:r>
        <w:rPr>
          <w:lang w:val="nl-BE"/>
        </w:rPr>
        <w:t>karakteristieken van</w:t>
      </w:r>
      <w:r w:rsidRPr="000734B8">
        <w:rPr>
          <w:lang w:val="nl-BE"/>
        </w:rPr>
        <w:t xml:space="preserve"> STEC stammen</w:t>
      </w:r>
      <w:r>
        <w:rPr>
          <w:lang w:val="nl-BE"/>
        </w:rPr>
        <w:t xml:space="preserve"> en de overeenkomstige patiënten. Enkel STEC afkomstig van Belgische patiënten met een gekende HUS status werden geïncludeerd. Er werd slechts 1 stam per uitbraak ge</w:t>
      </w:r>
      <w:r w:rsidR="00B4715D">
        <w:rPr>
          <w:lang w:val="nl-BE"/>
        </w:rPr>
        <w:t>selecteer</w:t>
      </w:r>
      <w:r>
        <w:rPr>
          <w:lang w:val="nl-BE"/>
        </w:rPr>
        <w:t>d</w:t>
      </w:r>
      <w:r w:rsidR="00D8536C">
        <w:rPr>
          <w:lang w:val="nl-BE"/>
        </w:rPr>
        <w:t>;</w:t>
      </w:r>
      <w:r>
        <w:rPr>
          <w:lang w:val="nl-BE"/>
        </w:rPr>
        <w:t xml:space="preserve"> degene die afkomstig was van de patiënt met de slechtste ziekte uitkomst.</w:t>
      </w:r>
      <w:r w:rsidR="00FC1C24">
        <w:rPr>
          <w:lang w:val="nl-BE"/>
        </w:rPr>
        <w:t xml:space="preserve"> </w:t>
      </w:r>
      <w:proofErr w:type="spellStart"/>
      <w:r w:rsidRPr="0000165E">
        <w:rPr>
          <w:lang w:val="nl-BE"/>
        </w:rPr>
        <w:t>Univari</w:t>
      </w:r>
      <w:r w:rsidR="00614228">
        <w:rPr>
          <w:lang w:val="nl-BE"/>
        </w:rPr>
        <w:t>a</w:t>
      </w:r>
      <w:r w:rsidR="0000165E" w:rsidRPr="0000165E">
        <w:rPr>
          <w:lang w:val="nl-BE"/>
        </w:rPr>
        <w:t>t</w:t>
      </w:r>
      <w:r w:rsidR="00614228">
        <w:rPr>
          <w:lang w:val="nl-BE"/>
        </w:rPr>
        <w:t>e</w:t>
      </w:r>
      <w:proofErr w:type="spellEnd"/>
      <w:r w:rsidRPr="0000165E">
        <w:rPr>
          <w:lang w:val="nl-BE"/>
        </w:rPr>
        <w:t xml:space="preserve"> </w:t>
      </w:r>
      <w:r w:rsidR="00EC68FD">
        <w:rPr>
          <w:lang w:val="nl-BE"/>
        </w:rPr>
        <w:t xml:space="preserve">en multivariate </w:t>
      </w:r>
      <w:r w:rsidR="00614228">
        <w:rPr>
          <w:lang w:val="nl-BE"/>
        </w:rPr>
        <w:t xml:space="preserve">logistieke regressie </w:t>
      </w:r>
      <w:r w:rsidRPr="0000165E">
        <w:rPr>
          <w:lang w:val="nl-BE"/>
        </w:rPr>
        <w:t xml:space="preserve">analyses </w:t>
      </w:r>
      <w:r w:rsidR="0000165E" w:rsidRPr="0000165E">
        <w:rPr>
          <w:lang w:val="nl-BE"/>
        </w:rPr>
        <w:t xml:space="preserve">werden uitgevoerd om het risico voor HUS ontwikkeling </w:t>
      </w:r>
      <w:r w:rsidR="00B278B1">
        <w:rPr>
          <w:lang w:val="nl-BE"/>
        </w:rPr>
        <w:t>te berekenen</w:t>
      </w:r>
      <w:r w:rsidR="00B278B1" w:rsidRPr="0000165E">
        <w:rPr>
          <w:lang w:val="nl-BE"/>
        </w:rPr>
        <w:t xml:space="preserve"> </w:t>
      </w:r>
      <w:r w:rsidR="0000165E" w:rsidRPr="0000165E">
        <w:rPr>
          <w:lang w:val="nl-BE"/>
        </w:rPr>
        <w:t>van verschillende pati</w:t>
      </w:r>
      <w:r w:rsidR="0000165E">
        <w:rPr>
          <w:lang w:val="nl-BE"/>
        </w:rPr>
        <w:t>ë</w:t>
      </w:r>
      <w:r w:rsidRPr="0000165E">
        <w:rPr>
          <w:lang w:val="nl-BE"/>
        </w:rPr>
        <w:t>nt</w:t>
      </w:r>
      <w:r w:rsidR="00D8536C">
        <w:rPr>
          <w:lang w:val="nl-BE"/>
        </w:rPr>
        <w:t>-</w:t>
      </w:r>
      <w:r w:rsidR="00D67F14">
        <w:rPr>
          <w:lang w:val="nl-BE"/>
        </w:rPr>
        <w:t xml:space="preserve"> (geslacht, leeftijd, klinische manifestatie naast HUS)</w:t>
      </w:r>
      <w:r w:rsidRPr="0000165E">
        <w:rPr>
          <w:lang w:val="nl-BE"/>
        </w:rPr>
        <w:t xml:space="preserve"> </w:t>
      </w:r>
      <w:r w:rsidR="0000165E">
        <w:rPr>
          <w:lang w:val="nl-BE"/>
        </w:rPr>
        <w:t xml:space="preserve">en stam </w:t>
      </w:r>
      <w:r w:rsidR="00D67F14">
        <w:rPr>
          <w:lang w:val="nl-BE"/>
        </w:rPr>
        <w:t xml:space="preserve">karakteristieken (O </w:t>
      </w:r>
      <w:proofErr w:type="spellStart"/>
      <w:r w:rsidR="00D67F14">
        <w:rPr>
          <w:lang w:val="nl-BE"/>
        </w:rPr>
        <w:t>serogroep</w:t>
      </w:r>
      <w:proofErr w:type="spellEnd"/>
      <w:r w:rsidR="00D67F14">
        <w:rPr>
          <w:lang w:val="nl-BE"/>
        </w:rPr>
        <w:t xml:space="preserve">, beweeglijkheid, </w:t>
      </w:r>
      <w:proofErr w:type="spellStart"/>
      <w:r w:rsidR="00D67F14" w:rsidRPr="00CB7280">
        <w:rPr>
          <w:i/>
          <w:lang w:val="nl-BE"/>
        </w:rPr>
        <w:t>stx</w:t>
      </w:r>
      <w:proofErr w:type="spellEnd"/>
      <w:r w:rsidR="00D67F14">
        <w:rPr>
          <w:lang w:val="nl-BE"/>
        </w:rPr>
        <w:t xml:space="preserve"> subtype, </w:t>
      </w:r>
      <w:proofErr w:type="spellStart"/>
      <w:r w:rsidR="00D67F14" w:rsidRPr="00CB7280">
        <w:rPr>
          <w:i/>
          <w:lang w:val="nl-BE"/>
        </w:rPr>
        <w:t>eaeA</w:t>
      </w:r>
      <w:proofErr w:type="spellEnd"/>
      <w:r w:rsidR="00D67F14">
        <w:rPr>
          <w:lang w:val="nl-BE"/>
        </w:rPr>
        <w:t xml:space="preserve">, </w:t>
      </w:r>
      <w:proofErr w:type="spellStart"/>
      <w:r w:rsidR="00D67F14" w:rsidRPr="00CB7280">
        <w:rPr>
          <w:i/>
          <w:lang w:val="nl-BE"/>
        </w:rPr>
        <w:t>ehxA</w:t>
      </w:r>
      <w:proofErr w:type="spellEnd"/>
      <w:r w:rsidR="00D67F14">
        <w:rPr>
          <w:lang w:val="nl-BE"/>
        </w:rPr>
        <w:t xml:space="preserve">, </w:t>
      </w:r>
      <w:proofErr w:type="spellStart"/>
      <w:r w:rsidR="00D67F14" w:rsidRPr="00CB7280">
        <w:rPr>
          <w:i/>
          <w:lang w:val="nl-BE"/>
        </w:rPr>
        <w:t>aaiC</w:t>
      </w:r>
      <w:proofErr w:type="spellEnd"/>
      <w:r w:rsidR="00D67F14">
        <w:rPr>
          <w:lang w:val="nl-BE"/>
        </w:rPr>
        <w:t xml:space="preserve">, </w:t>
      </w:r>
      <w:proofErr w:type="spellStart"/>
      <w:r w:rsidR="00D67F14" w:rsidRPr="00CB7280">
        <w:rPr>
          <w:i/>
          <w:lang w:val="nl-BE"/>
        </w:rPr>
        <w:t>aggR</w:t>
      </w:r>
      <w:proofErr w:type="spellEnd"/>
      <w:r w:rsidR="00D67F14">
        <w:rPr>
          <w:lang w:val="nl-BE"/>
        </w:rPr>
        <w:t xml:space="preserve">, sorbitol fermentatie en β </w:t>
      </w:r>
      <w:proofErr w:type="spellStart"/>
      <w:r w:rsidR="00D67F14">
        <w:rPr>
          <w:lang w:val="nl-BE"/>
        </w:rPr>
        <w:t>glucuronidase</w:t>
      </w:r>
      <w:proofErr w:type="spellEnd"/>
      <w:r w:rsidR="00D67F14">
        <w:rPr>
          <w:lang w:val="nl-BE"/>
        </w:rPr>
        <w:t xml:space="preserve"> productie)</w:t>
      </w:r>
      <w:r w:rsidR="00060EA7">
        <w:rPr>
          <w:lang w:val="nl-BE"/>
        </w:rPr>
        <w:t>.</w:t>
      </w:r>
      <w:r w:rsidRPr="00060EA7">
        <w:rPr>
          <w:lang w:val="nl-BE"/>
        </w:rPr>
        <w:t xml:space="preserve"> </w:t>
      </w:r>
    </w:p>
    <w:p w14:paraId="0E19A3F1" w14:textId="139319AD" w:rsidR="00EF553C" w:rsidRPr="00673C5E" w:rsidRDefault="00371222" w:rsidP="00673C5E">
      <w:pPr>
        <w:jc w:val="both"/>
        <w:rPr>
          <w:lang w:val="nl-BE"/>
        </w:rPr>
      </w:pPr>
      <w:r w:rsidRPr="00673C5E">
        <w:rPr>
          <w:lang w:val="nl-BE"/>
        </w:rPr>
        <w:t xml:space="preserve">Leeftijdscategorieën ≤5 jaar, 6-12 jaar en ≥75 jaar, en het </w:t>
      </w:r>
      <w:r w:rsidRPr="00B4715D">
        <w:rPr>
          <w:i/>
          <w:lang w:val="nl-BE"/>
        </w:rPr>
        <w:t>stx2</w:t>
      </w:r>
      <w:r w:rsidRPr="00673C5E">
        <w:rPr>
          <w:lang w:val="nl-BE"/>
        </w:rPr>
        <w:t xml:space="preserve"> gen waren significant</w:t>
      </w:r>
      <w:r w:rsidR="009A1DF2" w:rsidRPr="00673C5E">
        <w:rPr>
          <w:lang w:val="nl-BE"/>
        </w:rPr>
        <w:t>e risicofactoren</w:t>
      </w:r>
      <w:r w:rsidRPr="00673C5E">
        <w:rPr>
          <w:lang w:val="nl-BE"/>
        </w:rPr>
        <w:t xml:space="preserve"> in alle </w:t>
      </w:r>
      <w:r w:rsidR="009A1DF2" w:rsidRPr="00673C5E">
        <w:rPr>
          <w:lang w:val="nl-BE"/>
        </w:rPr>
        <w:t>statistische</w:t>
      </w:r>
      <w:r w:rsidRPr="00673C5E">
        <w:rPr>
          <w:lang w:val="nl-BE"/>
        </w:rPr>
        <w:t xml:space="preserve"> modellen. Het </w:t>
      </w:r>
      <w:proofErr w:type="spellStart"/>
      <w:r w:rsidRPr="00B4715D">
        <w:rPr>
          <w:i/>
          <w:lang w:val="nl-BE"/>
        </w:rPr>
        <w:t>eaeA</w:t>
      </w:r>
      <w:proofErr w:type="spellEnd"/>
      <w:r w:rsidRPr="003055D2">
        <w:rPr>
          <w:lang w:val="nl-BE"/>
        </w:rPr>
        <w:t xml:space="preserve"> gen was een significante determinant </w:t>
      </w:r>
      <w:r w:rsidR="009A1DF2" w:rsidRPr="003055D2">
        <w:rPr>
          <w:lang w:val="nl-BE"/>
        </w:rPr>
        <w:t>in twee van de drie</w:t>
      </w:r>
      <w:r w:rsidR="00B4715D">
        <w:rPr>
          <w:lang w:val="nl-BE"/>
        </w:rPr>
        <w:t xml:space="preserve"> multivariate</w:t>
      </w:r>
      <w:r w:rsidR="009A1DF2" w:rsidRPr="003055D2">
        <w:rPr>
          <w:lang w:val="nl-BE"/>
        </w:rPr>
        <w:t xml:space="preserve"> modellen. Aanwezigheid van het </w:t>
      </w:r>
      <w:r w:rsidR="009A1DF2" w:rsidRPr="00B4715D">
        <w:rPr>
          <w:i/>
          <w:lang w:val="nl-BE"/>
        </w:rPr>
        <w:t>stx2</w:t>
      </w:r>
      <w:r w:rsidR="009A1DF2" w:rsidRPr="00673C5E">
        <w:rPr>
          <w:lang w:val="nl-BE"/>
        </w:rPr>
        <w:t xml:space="preserve"> subtype </w:t>
      </w:r>
      <w:r w:rsidR="009A1DF2" w:rsidRPr="00B4715D">
        <w:rPr>
          <w:i/>
          <w:lang w:val="nl-BE"/>
        </w:rPr>
        <w:t>stx2a</w:t>
      </w:r>
      <w:r w:rsidR="00B4715D">
        <w:rPr>
          <w:lang w:val="nl-BE"/>
        </w:rPr>
        <w:t xml:space="preserve"> wa</w:t>
      </w:r>
      <w:r w:rsidR="009A1DF2" w:rsidRPr="00673C5E">
        <w:rPr>
          <w:lang w:val="nl-BE"/>
        </w:rPr>
        <w:t xml:space="preserve">s geassocieerd met het hoogste risico op HUS. Aanwezigheid van het </w:t>
      </w:r>
      <w:r w:rsidR="009A1DF2" w:rsidRPr="00B4715D">
        <w:rPr>
          <w:i/>
          <w:lang w:val="nl-BE"/>
        </w:rPr>
        <w:t>stx1</w:t>
      </w:r>
      <w:r w:rsidR="00365900">
        <w:rPr>
          <w:lang w:val="nl-BE"/>
        </w:rPr>
        <w:t xml:space="preserve"> </w:t>
      </w:r>
      <w:r w:rsidR="009A1DF2" w:rsidRPr="00673C5E">
        <w:rPr>
          <w:lang w:val="nl-BE"/>
        </w:rPr>
        <w:t>type alleen g</w:t>
      </w:r>
      <w:r w:rsidR="00B4715D">
        <w:rPr>
          <w:lang w:val="nl-BE"/>
        </w:rPr>
        <w:t>af</w:t>
      </w:r>
      <w:r w:rsidR="009A1DF2" w:rsidRPr="00673C5E">
        <w:rPr>
          <w:lang w:val="nl-BE"/>
        </w:rPr>
        <w:t xml:space="preserve"> een lager risico dan de combinatie van </w:t>
      </w:r>
      <w:r w:rsidR="009A1DF2" w:rsidRPr="00B4715D">
        <w:rPr>
          <w:i/>
          <w:lang w:val="nl-BE"/>
        </w:rPr>
        <w:t>stx1</w:t>
      </w:r>
      <w:r w:rsidR="009A1DF2" w:rsidRPr="00673C5E">
        <w:rPr>
          <w:lang w:val="nl-BE"/>
        </w:rPr>
        <w:t xml:space="preserve"> en </w:t>
      </w:r>
      <w:r w:rsidR="009A1DF2" w:rsidRPr="00B4715D">
        <w:rPr>
          <w:i/>
          <w:lang w:val="nl-BE"/>
        </w:rPr>
        <w:t>stx2</w:t>
      </w:r>
      <w:r w:rsidR="00B4715D" w:rsidRPr="00B4715D">
        <w:rPr>
          <w:lang w:val="nl-BE"/>
        </w:rPr>
        <w:t>;</w:t>
      </w:r>
      <w:r w:rsidR="009A1DF2" w:rsidRPr="00673C5E">
        <w:rPr>
          <w:lang w:val="nl-BE"/>
        </w:rPr>
        <w:t xml:space="preserve"> terwijl aanwezigheid van het </w:t>
      </w:r>
      <w:r w:rsidR="009A1DF2" w:rsidRPr="00B4715D">
        <w:rPr>
          <w:i/>
          <w:lang w:val="nl-BE"/>
        </w:rPr>
        <w:t>stx2</w:t>
      </w:r>
      <w:r w:rsidR="009A1DF2" w:rsidRPr="00673C5E">
        <w:rPr>
          <w:lang w:val="nl-BE"/>
        </w:rPr>
        <w:t xml:space="preserve"> gen alleen een hoger risico op HUS </w:t>
      </w:r>
      <w:r w:rsidR="00B4715D">
        <w:rPr>
          <w:lang w:val="nl-BE"/>
        </w:rPr>
        <w:t>inhield</w:t>
      </w:r>
      <w:r w:rsidR="009A1DF2" w:rsidRPr="00673C5E">
        <w:rPr>
          <w:lang w:val="nl-BE"/>
        </w:rPr>
        <w:t xml:space="preserve"> da</w:t>
      </w:r>
      <w:r w:rsidR="00D8536C" w:rsidRPr="00673C5E">
        <w:rPr>
          <w:lang w:val="nl-BE"/>
        </w:rPr>
        <w:t>n de combinatie van beide types.</w:t>
      </w:r>
    </w:p>
    <w:p w14:paraId="65F18C5E" w14:textId="4F1B734C" w:rsidR="00C33DF9" w:rsidRPr="00B4715D" w:rsidRDefault="009A1DF2" w:rsidP="00C33DF9">
      <w:pPr>
        <w:spacing w:after="0" w:line="480" w:lineRule="auto"/>
        <w:jc w:val="both"/>
        <w:rPr>
          <w:rFonts w:cstheme="minorHAnsi"/>
          <w:b/>
          <w:lang w:val="nl-BE"/>
        </w:rPr>
      </w:pPr>
      <w:r w:rsidRPr="00B4715D">
        <w:rPr>
          <w:rFonts w:cstheme="minorHAnsi"/>
          <w:b/>
          <w:lang w:val="nl-BE"/>
        </w:rPr>
        <w:t>Introductie van een n</w:t>
      </w:r>
      <w:r w:rsidR="00C33DF9" w:rsidRPr="00B4715D">
        <w:rPr>
          <w:rFonts w:cstheme="minorHAnsi"/>
          <w:b/>
          <w:lang w:val="nl-BE"/>
        </w:rPr>
        <w:t>ieuw algoritme voor STEC typering</w:t>
      </w:r>
    </w:p>
    <w:p w14:paraId="53850E4B" w14:textId="16F5CF50" w:rsidR="00465A37" w:rsidRPr="00673C5E" w:rsidRDefault="00C33DF9" w:rsidP="00673C5E">
      <w:pPr>
        <w:jc w:val="both"/>
        <w:rPr>
          <w:lang w:val="nl-BE"/>
        </w:rPr>
      </w:pPr>
      <w:r w:rsidRPr="003055D2">
        <w:rPr>
          <w:lang w:val="nl-BE"/>
        </w:rPr>
        <w:lastRenderedPageBreak/>
        <w:t>Tot op heden w</w:t>
      </w:r>
      <w:r w:rsidR="001F066E" w:rsidRPr="00673C5E">
        <w:rPr>
          <w:lang w:val="nl-BE"/>
        </w:rPr>
        <w:t>e</w:t>
      </w:r>
      <w:r w:rsidRPr="00673C5E">
        <w:rPr>
          <w:lang w:val="nl-BE"/>
        </w:rPr>
        <w:t xml:space="preserve">rden alle STEC die geïsoleerd werden in het NRC onmiddellijk gekarakteriseerd </w:t>
      </w:r>
      <w:r w:rsidR="007415F1">
        <w:rPr>
          <w:lang w:val="nl-BE"/>
        </w:rPr>
        <w:t>agglutinatie voor</w:t>
      </w:r>
      <w:r w:rsidR="000D77EC" w:rsidRPr="00673C5E">
        <w:rPr>
          <w:lang w:val="nl-BE"/>
        </w:rPr>
        <w:t xml:space="preserve"> de 6 belangrijkste O </w:t>
      </w:r>
      <w:proofErr w:type="spellStart"/>
      <w:r w:rsidR="000D77EC" w:rsidRPr="00673C5E">
        <w:rPr>
          <w:lang w:val="nl-BE"/>
        </w:rPr>
        <w:t>serogroepen</w:t>
      </w:r>
      <w:proofErr w:type="spellEnd"/>
      <w:r w:rsidR="000D77EC" w:rsidRPr="00673C5E">
        <w:rPr>
          <w:lang w:val="nl-BE"/>
        </w:rPr>
        <w:t xml:space="preserve"> (O26, O103</w:t>
      </w:r>
      <w:r w:rsidR="007415F1">
        <w:rPr>
          <w:lang w:val="nl-BE"/>
        </w:rPr>
        <w:t>, O111, O121, O145 en O157) en het opsporen van</w:t>
      </w:r>
      <w:r w:rsidR="00B4715D">
        <w:rPr>
          <w:lang w:val="nl-BE"/>
        </w:rPr>
        <w:t xml:space="preserve"> </w:t>
      </w:r>
      <w:r w:rsidR="000D77EC" w:rsidRPr="00673C5E">
        <w:rPr>
          <w:lang w:val="nl-BE"/>
        </w:rPr>
        <w:t xml:space="preserve">de </w:t>
      </w:r>
      <w:r w:rsidR="00B4715D">
        <w:rPr>
          <w:lang w:val="nl-BE"/>
        </w:rPr>
        <w:t>virulentie</w:t>
      </w:r>
      <w:r w:rsidR="000D77EC" w:rsidRPr="00673C5E">
        <w:rPr>
          <w:lang w:val="nl-BE"/>
        </w:rPr>
        <w:t>genen</w:t>
      </w:r>
      <w:r w:rsidRPr="00673C5E">
        <w:rPr>
          <w:lang w:val="nl-BE"/>
        </w:rPr>
        <w:t xml:space="preserve"> </w:t>
      </w:r>
      <w:r w:rsidRPr="00B4715D">
        <w:rPr>
          <w:i/>
          <w:lang w:val="nl-BE"/>
        </w:rPr>
        <w:t>stx1</w:t>
      </w:r>
      <w:r w:rsidRPr="00673C5E">
        <w:rPr>
          <w:lang w:val="nl-BE"/>
        </w:rPr>
        <w:t xml:space="preserve">, </w:t>
      </w:r>
      <w:r w:rsidRPr="00B4715D">
        <w:rPr>
          <w:i/>
          <w:lang w:val="nl-BE"/>
        </w:rPr>
        <w:t>stx2</w:t>
      </w:r>
      <w:r w:rsidRPr="00673C5E">
        <w:rPr>
          <w:lang w:val="nl-BE"/>
        </w:rPr>
        <w:t xml:space="preserve">, </w:t>
      </w:r>
      <w:proofErr w:type="spellStart"/>
      <w:r w:rsidRPr="00B4715D">
        <w:rPr>
          <w:i/>
          <w:lang w:val="nl-BE"/>
        </w:rPr>
        <w:t>eaeA</w:t>
      </w:r>
      <w:proofErr w:type="spellEnd"/>
      <w:r w:rsidRPr="00673C5E">
        <w:rPr>
          <w:lang w:val="nl-BE"/>
        </w:rPr>
        <w:t xml:space="preserve">, </w:t>
      </w:r>
      <w:proofErr w:type="spellStart"/>
      <w:r w:rsidRPr="00B4715D">
        <w:rPr>
          <w:i/>
          <w:lang w:val="nl-BE"/>
        </w:rPr>
        <w:t>ehx</w:t>
      </w:r>
      <w:r w:rsidR="009A1DF2" w:rsidRPr="00B4715D">
        <w:rPr>
          <w:i/>
          <w:lang w:val="nl-BE"/>
        </w:rPr>
        <w:t>A</w:t>
      </w:r>
      <w:proofErr w:type="spellEnd"/>
      <w:r w:rsidR="009A1DF2" w:rsidRPr="00B4715D">
        <w:rPr>
          <w:i/>
          <w:lang w:val="nl-BE"/>
        </w:rPr>
        <w:t xml:space="preserve"> </w:t>
      </w:r>
      <w:r w:rsidR="009A1DF2" w:rsidRPr="00673C5E">
        <w:rPr>
          <w:lang w:val="nl-BE"/>
        </w:rPr>
        <w:t>(=</w:t>
      </w:r>
      <w:proofErr w:type="spellStart"/>
      <w:r w:rsidR="009A1DF2" w:rsidRPr="00B4715D">
        <w:rPr>
          <w:i/>
          <w:lang w:val="nl-BE"/>
        </w:rPr>
        <w:t>hlyA</w:t>
      </w:r>
      <w:proofErr w:type="spellEnd"/>
      <w:r w:rsidR="00B4715D">
        <w:rPr>
          <w:lang w:val="nl-BE"/>
        </w:rPr>
        <w:t xml:space="preserve">, </w:t>
      </w:r>
      <w:proofErr w:type="spellStart"/>
      <w:r w:rsidR="00B4715D">
        <w:rPr>
          <w:lang w:val="nl-BE"/>
        </w:rPr>
        <w:t>enterohemolysine</w:t>
      </w:r>
      <w:proofErr w:type="spellEnd"/>
      <w:r w:rsidR="009A1DF2" w:rsidRPr="00673C5E">
        <w:rPr>
          <w:lang w:val="nl-BE"/>
        </w:rPr>
        <w:t>)</w:t>
      </w:r>
      <w:r w:rsidRPr="00673C5E">
        <w:rPr>
          <w:lang w:val="nl-BE"/>
        </w:rPr>
        <w:t xml:space="preserve">, </w:t>
      </w:r>
      <w:r w:rsidR="00B4715D">
        <w:rPr>
          <w:lang w:val="nl-BE"/>
        </w:rPr>
        <w:t xml:space="preserve">en de </w:t>
      </w:r>
      <w:proofErr w:type="spellStart"/>
      <w:r w:rsidR="00B4715D">
        <w:rPr>
          <w:lang w:val="nl-BE"/>
        </w:rPr>
        <w:t>enteroaggregatieve</w:t>
      </w:r>
      <w:proofErr w:type="spellEnd"/>
      <w:r w:rsidR="00B4715D">
        <w:rPr>
          <w:lang w:val="nl-BE"/>
        </w:rPr>
        <w:t xml:space="preserve"> genen </w:t>
      </w:r>
      <w:proofErr w:type="spellStart"/>
      <w:r w:rsidRPr="00B4715D">
        <w:rPr>
          <w:i/>
          <w:lang w:val="nl-BE"/>
        </w:rPr>
        <w:t>aaiC</w:t>
      </w:r>
      <w:proofErr w:type="spellEnd"/>
      <w:r w:rsidRPr="003055D2">
        <w:rPr>
          <w:lang w:val="nl-BE"/>
        </w:rPr>
        <w:t xml:space="preserve"> en </w:t>
      </w:r>
      <w:proofErr w:type="spellStart"/>
      <w:r w:rsidRPr="00B4715D">
        <w:rPr>
          <w:i/>
          <w:lang w:val="nl-BE"/>
        </w:rPr>
        <w:t>aggR</w:t>
      </w:r>
      <w:proofErr w:type="spellEnd"/>
      <w:r w:rsidR="009A1DF2" w:rsidRPr="003055D2">
        <w:rPr>
          <w:lang w:val="nl-BE"/>
        </w:rPr>
        <w:t>. Op</w:t>
      </w:r>
      <w:r w:rsidR="000D77EC" w:rsidRPr="00673C5E">
        <w:rPr>
          <w:lang w:val="nl-BE"/>
        </w:rPr>
        <w:t xml:space="preserve"> basis van deze virulentiefactoren</w:t>
      </w:r>
      <w:r w:rsidR="009A1DF2" w:rsidRPr="00673C5E">
        <w:rPr>
          <w:lang w:val="nl-BE"/>
        </w:rPr>
        <w:t xml:space="preserve"> werden STEC stammen gerapporteerd als ‘typische EHEC’ wanneer </w:t>
      </w:r>
      <w:proofErr w:type="spellStart"/>
      <w:r w:rsidR="009A1DF2" w:rsidRPr="00B4715D">
        <w:rPr>
          <w:i/>
          <w:lang w:val="nl-BE"/>
        </w:rPr>
        <w:t>eaeA</w:t>
      </w:r>
      <w:proofErr w:type="spellEnd"/>
      <w:r w:rsidR="009A1DF2" w:rsidRPr="003055D2">
        <w:rPr>
          <w:lang w:val="nl-BE"/>
        </w:rPr>
        <w:t xml:space="preserve"> en </w:t>
      </w:r>
      <w:proofErr w:type="spellStart"/>
      <w:r w:rsidR="009A1DF2" w:rsidRPr="00B4715D">
        <w:rPr>
          <w:i/>
          <w:lang w:val="nl-BE"/>
        </w:rPr>
        <w:t>ehxA</w:t>
      </w:r>
      <w:proofErr w:type="spellEnd"/>
      <w:r w:rsidR="009A1DF2" w:rsidRPr="00B4715D">
        <w:rPr>
          <w:i/>
          <w:lang w:val="nl-BE"/>
        </w:rPr>
        <w:t xml:space="preserve"> </w:t>
      </w:r>
      <w:r w:rsidR="009A1DF2" w:rsidRPr="003055D2">
        <w:rPr>
          <w:lang w:val="nl-BE"/>
        </w:rPr>
        <w:t xml:space="preserve">positief waren of ‘atypische EHEC’ wanneer slechts </w:t>
      </w:r>
      <w:r w:rsidR="00B4715D">
        <w:rPr>
          <w:lang w:val="nl-BE"/>
        </w:rPr>
        <w:t>één of geen van deze virulentiegene</w:t>
      </w:r>
      <w:r w:rsidR="009A1DF2" w:rsidRPr="003055D2">
        <w:rPr>
          <w:lang w:val="nl-BE"/>
        </w:rPr>
        <w:t xml:space="preserve">n </w:t>
      </w:r>
      <w:r w:rsidR="00B4715D">
        <w:rPr>
          <w:lang w:val="nl-BE"/>
        </w:rPr>
        <w:t>aanwezig</w:t>
      </w:r>
      <w:r w:rsidR="009A1DF2" w:rsidRPr="003055D2">
        <w:rPr>
          <w:lang w:val="nl-BE"/>
        </w:rPr>
        <w:t xml:space="preserve"> waren. </w:t>
      </w:r>
      <w:r w:rsidR="00FE39C3" w:rsidRPr="00673C5E">
        <w:rPr>
          <w:lang w:val="nl-BE"/>
        </w:rPr>
        <w:t xml:space="preserve">Uit recentere studies blijkt dat deze onderscheiding weinig gecorreleerd is </w:t>
      </w:r>
      <w:r w:rsidR="008A522F">
        <w:rPr>
          <w:lang w:val="nl-BE"/>
        </w:rPr>
        <w:t>met</w:t>
      </w:r>
      <w:r w:rsidR="00FE39C3" w:rsidRPr="00673C5E">
        <w:rPr>
          <w:lang w:val="nl-BE"/>
        </w:rPr>
        <w:t xml:space="preserve"> het klinisch verloop van de STEC infectie, in het bijzonder </w:t>
      </w:r>
      <w:r w:rsidR="00043AE1">
        <w:rPr>
          <w:lang w:val="nl-BE"/>
        </w:rPr>
        <w:t xml:space="preserve">met </w:t>
      </w:r>
      <w:r w:rsidR="00FE39C3" w:rsidRPr="00673C5E">
        <w:rPr>
          <w:lang w:val="nl-BE"/>
        </w:rPr>
        <w:t>het risico om HUS te ontwikkelen. H</w:t>
      </w:r>
      <w:r w:rsidR="0080574D" w:rsidRPr="00673C5E">
        <w:rPr>
          <w:lang w:val="nl-BE"/>
        </w:rPr>
        <w:t xml:space="preserve">et </w:t>
      </w:r>
      <w:proofErr w:type="spellStart"/>
      <w:r w:rsidR="0080574D" w:rsidRPr="0098051D">
        <w:rPr>
          <w:i/>
          <w:lang w:val="nl-BE"/>
        </w:rPr>
        <w:t>stx</w:t>
      </w:r>
      <w:proofErr w:type="spellEnd"/>
      <w:r w:rsidR="0080574D" w:rsidRPr="00673C5E">
        <w:rPr>
          <w:lang w:val="nl-BE"/>
        </w:rPr>
        <w:t xml:space="preserve"> subtype </w:t>
      </w:r>
      <w:r w:rsidR="00FE39C3" w:rsidRPr="003055D2">
        <w:rPr>
          <w:lang w:val="nl-BE"/>
        </w:rPr>
        <w:t>geeft een beter</w:t>
      </w:r>
      <w:r w:rsidR="00C57021">
        <w:rPr>
          <w:lang w:val="nl-BE"/>
        </w:rPr>
        <w:t>e</w:t>
      </w:r>
      <w:r w:rsidR="00FE39C3" w:rsidRPr="003055D2">
        <w:rPr>
          <w:lang w:val="nl-BE"/>
        </w:rPr>
        <w:t xml:space="preserve"> idee van het risico op </w:t>
      </w:r>
      <w:r w:rsidR="0080574D" w:rsidRPr="00673C5E">
        <w:rPr>
          <w:lang w:val="nl-BE"/>
        </w:rPr>
        <w:t>HUS ontwikkeling</w:t>
      </w:r>
      <w:r w:rsidR="00FE39C3" w:rsidRPr="00673C5E">
        <w:rPr>
          <w:lang w:val="nl-BE"/>
        </w:rPr>
        <w:t>. Daarom</w:t>
      </w:r>
      <w:r w:rsidR="0080574D" w:rsidRPr="00673C5E">
        <w:rPr>
          <w:lang w:val="nl-BE"/>
        </w:rPr>
        <w:t xml:space="preserve"> stellen we een nieuw</w:t>
      </w:r>
      <w:r w:rsidR="00BF1019" w:rsidRPr="00673C5E">
        <w:rPr>
          <w:lang w:val="nl-BE"/>
        </w:rPr>
        <w:t>, informatiever</w:t>
      </w:r>
      <w:r w:rsidR="0080574D" w:rsidRPr="00673C5E">
        <w:rPr>
          <w:lang w:val="nl-BE"/>
        </w:rPr>
        <w:t xml:space="preserve"> algoritme voor STEC typering voor.</w:t>
      </w:r>
      <w:r w:rsidR="00465A37" w:rsidRPr="00673C5E">
        <w:rPr>
          <w:lang w:val="nl-BE"/>
        </w:rPr>
        <w:t xml:space="preserve"> De benaming “</w:t>
      </w:r>
      <w:proofErr w:type="spellStart"/>
      <w:r w:rsidR="00465A37" w:rsidRPr="00673C5E">
        <w:rPr>
          <w:lang w:val="nl-BE"/>
        </w:rPr>
        <w:t>enterohemorrhagische</w:t>
      </w:r>
      <w:proofErr w:type="spellEnd"/>
      <w:r w:rsidR="0098051D">
        <w:rPr>
          <w:lang w:val="nl-BE"/>
        </w:rPr>
        <w:t>”</w:t>
      </w:r>
      <w:r w:rsidR="00465A37" w:rsidRPr="00673C5E">
        <w:rPr>
          <w:lang w:val="nl-BE"/>
        </w:rPr>
        <w:t xml:space="preserve"> </w:t>
      </w:r>
      <w:r w:rsidR="00465A37" w:rsidRPr="0098051D">
        <w:rPr>
          <w:i/>
          <w:lang w:val="nl-BE"/>
        </w:rPr>
        <w:t>E. coli</w:t>
      </w:r>
      <w:r w:rsidR="00465A37" w:rsidRPr="00673C5E">
        <w:rPr>
          <w:lang w:val="nl-BE"/>
        </w:rPr>
        <w:t xml:space="preserve"> wordt verlaten en </w:t>
      </w:r>
      <w:r w:rsidR="000650F2" w:rsidRPr="00673C5E">
        <w:rPr>
          <w:lang w:val="nl-BE"/>
        </w:rPr>
        <w:t>hoewel</w:t>
      </w:r>
      <w:r w:rsidR="00465A37" w:rsidRPr="00673C5E">
        <w:rPr>
          <w:lang w:val="nl-BE"/>
        </w:rPr>
        <w:t xml:space="preserve"> de benaming “</w:t>
      </w:r>
      <w:proofErr w:type="spellStart"/>
      <w:r w:rsidR="00465A37" w:rsidRPr="00673C5E">
        <w:rPr>
          <w:lang w:val="nl-BE"/>
        </w:rPr>
        <w:t>verocytotoxine</w:t>
      </w:r>
      <w:proofErr w:type="spellEnd"/>
      <w:r w:rsidR="00465A37" w:rsidRPr="00673C5E">
        <w:rPr>
          <w:lang w:val="nl-BE"/>
        </w:rPr>
        <w:t xml:space="preserve">” </w:t>
      </w:r>
      <w:r w:rsidR="00870F4D">
        <w:rPr>
          <w:lang w:val="nl-BE"/>
        </w:rPr>
        <w:t>een</w:t>
      </w:r>
      <w:r w:rsidR="00586278">
        <w:rPr>
          <w:lang w:val="nl-BE"/>
        </w:rPr>
        <w:t xml:space="preserve"> </w:t>
      </w:r>
      <w:r w:rsidR="00870F4D">
        <w:rPr>
          <w:lang w:val="nl-BE"/>
        </w:rPr>
        <w:t>synoniem i</w:t>
      </w:r>
      <w:r w:rsidR="00465A37" w:rsidRPr="003055D2">
        <w:rPr>
          <w:lang w:val="nl-BE"/>
        </w:rPr>
        <w:t>s</w:t>
      </w:r>
      <w:r w:rsidR="00586278">
        <w:rPr>
          <w:lang w:val="nl-BE"/>
        </w:rPr>
        <w:t>,</w:t>
      </w:r>
      <w:r w:rsidR="00465A37" w:rsidRPr="00673C5E">
        <w:rPr>
          <w:lang w:val="nl-BE"/>
        </w:rPr>
        <w:t xml:space="preserve"> zullen we ons aansluiten </w:t>
      </w:r>
      <w:r w:rsidR="0098051D">
        <w:rPr>
          <w:lang w:val="nl-BE"/>
        </w:rPr>
        <w:t>bij</w:t>
      </w:r>
      <w:r w:rsidR="00465A37" w:rsidRPr="00673C5E">
        <w:rPr>
          <w:lang w:val="nl-BE"/>
        </w:rPr>
        <w:t xml:space="preserve"> de meerderheid van de auteurs en </w:t>
      </w:r>
      <w:r w:rsidR="00870F4D">
        <w:rPr>
          <w:lang w:val="nl-BE"/>
        </w:rPr>
        <w:t xml:space="preserve">vanaf nu enkel de </w:t>
      </w:r>
      <w:r w:rsidR="000650F2">
        <w:rPr>
          <w:lang w:val="nl-BE"/>
        </w:rPr>
        <w:t xml:space="preserve">benamingen </w:t>
      </w:r>
      <w:proofErr w:type="spellStart"/>
      <w:r w:rsidR="00465A37" w:rsidRPr="003055D2">
        <w:rPr>
          <w:lang w:val="nl-BE"/>
        </w:rPr>
        <w:t>Shiga</w:t>
      </w:r>
      <w:proofErr w:type="spellEnd"/>
      <w:r w:rsidR="00465A37" w:rsidRPr="003055D2">
        <w:rPr>
          <w:lang w:val="nl-BE"/>
        </w:rPr>
        <w:t xml:space="preserve"> toxine </w:t>
      </w:r>
      <w:r w:rsidR="0098051D">
        <w:rPr>
          <w:lang w:val="nl-BE"/>
        </w:rPr>
        <w:t xml:space="preserve">(afgekort </w:t>
      </w:r>
      <w:proofErr w:type="spellStart"/>
      <w:r w:rsidR="0098051D">
        <w:rPr>
          <w:lang w:val="nl-BE"/>
        </w:rPr>
        <w:t>Stx</w:t>
      </w:r>
      <w:proofErr w:type="spellEnd"/>
      <w:r w:rsidR="0098051D">
        <w:rPr>
          <w:lang w:val="nl-BE"/>
        </w:rPr>
        <w:t xml:space="preserve">) en </w:t>
      </w:r>
      <w:proofErr w:type="spellStart"/>
      <w:r w:rsidR="0098051D">
        <w:rPr>
          <w:lang w:val="nl-BE"/>
        </w:rPr>
        <w:t>Shiga</w:t>
      </w:r>
      <w:proofErr w:type="spellEnd"/>
      <w:r w:rsidR="0098051D">
        <w:rPr>
          <w:lang w:val="nl-BE"/>
        </w:rPr>
        <w:t xml:space="preserve"> toxine-</w:t>
      </w:r>
      <w:r w:rsidR="00465A37" w:rsidRPr="00673C5E">
        <w:rPr>
          <w:lang w:val="nl-BE"/>
        </w:rPr>
        <w:t xml:space="preserve">producerende </w:t>
      </w:r>
      <w:r w:rsidR="00465A37" w:rsidRPr="0098051D">
        <w:rPr>
          <w:i/>
          <w:lang w:val="nl-BE"/>
        </w:rPr>
        <w:t>E. coli</w:t>
      </w:r>
      <w:r w:rsidR="00465A37" w:rsidRPr="00673C5E">
        <w:rPr>
          <w:lang w:val="nl-BE"/>
        </w:rPr>
        <w:t xml:space="preserve"> (STEC)</w:t>
      </w:r>
      <w:r w:rsidR="00870F4D">
        <w:rPr>
          <w:lang w:val="nl-BE"/>
        </w:rPr>
        <w:t xml:space="preserve"> hanteren</w:t>
      </w:r>
      <w:r w:rsidR="00465A37" w:rsidRPr="003055D2">
        <w:rPr>
          <w:lang w:val="nl-BE"/>
        </w:rPr>
        <w:t>.</w:t>
      </w:r>
    </w:p>
    <w:p w14:paraId="7EA2CEC2" w14:textId="368BAA61" w:rsidR="00C33DF9" w:rsidRPr="00673C5E" w:rsidRDefault="000D77EC" w:rsidP="00673C5E">
      <w:pPr>
        <w:jc w:val="both"/>
        <w:rPr>
          <w:lang w:val="nl-BE"/>
        </w:rPr>
      </w:pPr>
      <w:r w:rsidRPr="00673C5E">
        <w:rPr>
          <w:lang w:val="nl-BE"/>
        </w:rPr>
        <w:t>Stx</w:t>
      </w:r>
      <w:r w:rsidR="00C57021">
        <w:rPr>
          <w:lang w:val="nl-BE"/>
        </w:rPr>
        <w:t>2</w:t>
      </w:r>
      <w:r w:rsidRPr="00673C5E">
        <w:rPr>
          <w:lang w:val="nl-BE"/>
        </w:rPr>
        <w:t xml:space="preserve"> subtypes </w:t>
      </w:r>
      <w:r w:rsidRPr="0098051D">
        <w:rPr>
          <w:i/>
          <w:lang w:val="nl-BE"/>
        </w:rPr>
        <w:t>stx2a</w:t>
      </w:r>
      <w:r w:rsidRPr="00673C5E">
        <w:rPr>
          <w:lang w:val="nl-BE"/>
        </w:rPr>
        <w:t xml:space="preserve"> en </w:t>
      </w:r>
      <w:r w:rsidRPr="0098051D">
        <w:rPr>
          <w:i/>
          <w:lang w:val="nl-BE"/>
        </w:rPr>
        <w:t>stx2d</w:t>
      </w:r>
      <w:r w:rsidRPr="00673C5E">
        <w:rPr>
          <w:lang w:val="nl-BE"/>
        </w:rPr>
        <w:t xml:space="preserve"> zullen onmiddellijk getest en gerapporteerd worden omdat deze, volgens </w:t>
      </w:r>
      <w:r w:rsidR="00465A37" w:rsidRPr="00673C5E">
        <w:rPr>
          <w:lang w:val="nl-BE"/>
        </w:rPr>
        <w:t xml:space="preserve">de literatuur en </w:t>
      </w:r>
      <w:r w:rsidRPr="00673C5E">
        <w:rPr>
          <w:lang w:val="nl-BE"/>
        </w:rPr>
        <w:t xml:space="preserve">onze eigen statistische analyses, een hoger risico op HUS met zich meedragen. In het verleden gebeurde </w:t>
      </w:r>
      <w:proofErr w:type="spellStart"/>
      <w:r w:rsidRPr="0098051D">
        <w:rPr>
          <w:i/>
          <w:lang w:val="nl-BE"/>
        </w:rPr>
        <w:t>stx</w:t>
      </w:r>
      <w:proofErr w:type="spellEnd"/>
      <w:r w:rsidR="00BF1019" w:rsidRPr="003055D2">
        <w:rPr>
          <w:lang w:val="nl-BE"/>
        </w:rPr>
        <w:t xml:space="preserve"> subtypering per kwartaal op </w:t>
      </w:r>
      <w:r w:rsidRPr="00673C5E">
        <w:rPr>
          <w:lang w:val="nl-BE"/>
        </w:rPr>
        <w:t xml:space="preserve">groepen van </w:t>
      </w:r>
      <w:proofErr w:type="spellStart"/>
      <w:r w:rsidRPr="00673C5E">
        <w:rPr>
          <w:lang w:val="nl-BE"/>
        </w:rPr>
        <w:t>isolaten</w:t>
      </w:r>
      <w:proofErr w:type="spellEnd"/>
      <w:r w:rsidRPr="00673C5E">
        <w:rPr>
          <w:lang w:val="nl-BE"/>
        </w:rPr>
        <w:t>.</w:t>
      </w:r>
      <w:r w:rsidR="00BF1019" w:rsidRPr="00673C5E">
        <w:rPr>
          <w:lang w:val="nl-BE"/>
        </w:rPr>
        <w:t xml:space="preserve"> Bepaling van </w:t>
      </w:r>
      <w:r w:rsidR="008D3236">
        <w:rPr>
          <w:lang w:val="nl-BE"/>
        </w:rPr>
        <w:t xml:space="preserve">de andere subgroepen en </w:t>
      </w:r>
      <w:r w:rsidR="00BF1019" w:rsidRPr="00673C5E">
        <w:rPr>
          <w:lang w:val="nl-BE"/>
        </w:rPr>
        <w:t xml:space="preserve">het </w:t>
      </w:r>
      <w:proofErr w:type="spellStart"/>
      <w:r w:rsidR="00BF1019" w:rsidRPr="0098051D">
        <w:rPr>
          <w:i/>
          <w:lang w:val="nl-BE"/>
        </w:rPr>
        <w:t>ehxA</w:t>
      </w:r>
      <w:proofErr w:type="spellEnd"/>
      <w:r w:rsidR="00BF1019" w:rsidRPr="003055D2">
        <w:rPr>
          <w:lang w:val="nl-BE"/>
        </w:rPr>
        <w:t xml:space="preserve"> gen zal niet meer onmiddellijk gebeuren aangezien de rol van dit gen niet statistisch significant bleek</w:t>
      </w:r>
      <w:r w:rsidR="00D8536C" w:rsidRPr="00673C5E">
        <w:rPr>
          <w:lang w:val="nl-BE"/>
        </w:rPr>
        <w:t>. Detectie</w:t>
      </w:r>
      <w:r w:rsidR="00BF1019" w:rsidRPr="00673C5E">
        <w:rPr>
          <w:lang w:val="nl-BE"/>
        </w:rPr>
        <w:t xml:space="preserve"> van de zeldzame </w:t>
      </w:r>
      <w:proofErr w:type="spellStart"/>
      <w:r w:rsidR="00BF1019" w:rsidRPr="00673C5E">
        <w:rPr>
          <w:lang w:val="nl-BE"/>
        </w:rPr>
        <w:t>enteroaggregatieve</w:t>
      </w:r>
      <w:proofErr w:type="spellEnd"/>
      <w:r w:rsidR="00BF1019" w:rsidRPr="00673C5E">
        <w:rPr>
          <w:lang w:val="nl-BE"/>
        </w:rPr>
        <w:t xml:space="preserve"> </w:t>
      </w:r>
      <w:proofErr w:type="spellStart"/>
      <w:r w:rsidR="00BF1019" w:rsidRPr="0098051D">
        <w:rPr>
          <w:i/>
          <w:lang w:val="nl-BE"/>
        </w:rPr>
        <w:t>aaiC</w:t>
      </w:r>
      <w:proofErr w:type="spellEnd"/>
      <w:r w:rsidR="00BF1019" w:rsidRPr="003055D2">
        <w:rPr>
          <w:lang w:val="nl-BE"/>
        </w:rPr>
        <w:t xml:space="preserve"> en </w:t>
      </w:r>
      <w:proofErr w:type="spellStart"/>
      <w:r w:rsidR="00BF1019" w:rsidRPr="0098051D">
        <w:rPr>
          <w:i/>
          <w:lang w:val="nl-BE"/>
        </w:rPr>
        <w:t>aggR</w:t>
      </w:r>
      <w:proofErr w:type="spellEnd"/>
      <w:r w:rsidR="00BF1019" w:rsidRPr="003055D2">
        <w:rPr>
          <w:lang w:val="nl-BE"/>
        </w:rPr>
        <w:t xml:space="preserve"> genen zal slechts onder bepaalde omstandigheden in eerste lijn gebeuren</w:t>
      </w:r>
      <w:r w:rsidR="00D8536C" w:rsidRPr="00673C5E">
        <w:rPr>
          <w:lang w:val="nl-BE"/>
        </w:rPr>
        <w:t xml:space="preserve"> (Figuur 1)</w:t>
      </w:r>
      <w:r w:rsidR="00BF1019" w:rsidRPr="00673C5E">
        <w:rPr>
          <w:lang w:val="nl-BE"/>
        </w:rPr>
        <w:t>.</w:t>
      </w:r>
    </w:p>
    <w:p w14:paraId="46E2D5CC" w14:textId="77777777" w:rsidR="009A1DF2" w:rsidRDefault="009A1DF2" w:rsidP="001F066E">
      <w:pPr>
        <w:spacing w:after="0" w:line="240" w:lineRule="auto"/>
        <w:jc w:val="both"/>
        <w:rPr>
          <w:rFonts w:cstheme="minorHAnsi"/>
          <w:lang w:val="nl-BE"/>
        </w:rPr>
      </w:pPr>
    </w:p>
    <w:p w14:paraId="0730CD8D" w14:textId="0220BE2F" w:rsidR="009A1DF2" w:rsidRDefault="009A1DF2" w:rsidP="001F066E">
      <w:pPr>
        <w:spacing w:after="0" w:line="240" w:lineRule="auto"/>
        <w:jc w:val="both"/>
        <w:rPr>
          <w:rFonts w:cstheme="minorHAnsi"/>
          <w:lang w:val="nl-BE"/>
        </w:rPr>
      </w:pPr>
      <w:r w:rsidRPr="000D77EC">
        <w:rPr>
          <w:rFonts w:cstheme="minorHAnsi"/>
          <w:b/>
          <w:lang w:val="nl-BE"/>
        </w:rPr>
        <w:t>Figuur 1</w:t>
      </w:r>
      <w:r>
        <w:rPr>
          <w:rFonts w:cstheme="minorHAnsi"/>
          <w:lang w:val="nl-BE"/>
        </w:rPr>
        <w:t xml:space="preserve">: Nieuw algoritme voor STEC </w:t>
      </w:r>
      <w:r w:rsidR="00FE76A9">
        <w:rPr>
          <w:rFonts w:cstheme="minorHAnsi"/>
          <w:lang w:val="nl-BE"/>
        </w:rPr>
        <w:t xml:space="preserve">virulentie </w:t>
      </w:r>
      <w:r>
        <w:rPr>
          <w:rFonts w:cstheme="minorHAnsi"/>
          <w:lang w:val="nl-BE"/>
        </w:rPr>
        <w:t>typering in het NRC STEC</w:t>
      </w:r>
      <w:r w:rsidR="003B340C">
        <w:rPr>
          <w:rFonts w:cstheme="minorHAnsi"/>
          <w:lang w:val="nl-BE"/>
        </w:rPr>
        <w:t xml:space="preserve"> </w:t>
      </w:r>
    </w:p>
    <w:p w14:paraId="764A56E9" w14:textId="77777777" w:rsidR="0080574D" w:rsidRDefault="0080574D" w:rsidP="001F066E">
      <w:pPr>
        <w:spacing w:after="0" w:line="240" w:lineRule="auto"/>
        <w:jc w:val="both"/>
        <w:rPr>
          <w:rFonts w:cstheme="minorHAnsi"/>
          <w:lang w:val="nl-BE"/>
        </w:rPr>
      </w:pPr>
    </w:p>
    <w:p w14:paraId="1CF52DCB" w14:textId="77777777" w:rsidR="0080574D" w:rsidRDefault="0080574D" w:rsidP="001F066E">
      <w:pPr>
        <w:spacing w:after="0" w:line="240" w:lineRule="auto"/>
        <w:jc w:val="both"/>
        <w:rPr>
          <w:rFonts w:cstheme="minorHAnsi"/>
          <w:lang w:val="nl-BE"/>
        </w:rPr>
      </w:pPr>
      <w:r>
        <w:rPr>
          <w:noProof/>
          <w:lang w:val="nl-BE" w:eastAsia="nl-BE"/>
        </w:rPr>
        <w:drawing>
          <wp:inline distT="0" distB="0" distL="0" distR="0" wp14:anchorId="72A52EBB" wp14:editId="0F997478">
            <wp:extent cx="5144494" cy="31875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47159" cy="3189203"/>
                    </a:xfrm>
                    <a:prstGeom prst="rect">
                      <a:avLst/>
                    </a:prstGeom>
                  </pic:spPr>
                </pic:pic>
              </a:graphicData>
            </a:graphic>
          </wp:inline>
        </w:drawing>
      </w:r>
    </w:p>
    <w:p w14:paraId="04EA960C" w14:textId="77777777" w:rsidR="0080574D" w:rsidRPr="0080574D" w:rsidRDefault="0080574D" w:rsidP="001F066E">
      <w:pPr>
        <w:spacing w:after="0" w:line="240" w:lineRule="auto"/>
        <w:jc w:val="both"/>
        <w:rPr>
          <w:rFonts w:cstheme="minorHAnsi"/>
          <w:lang w:val="nl-BE"/>
        </w:rPr>
      </w:pPr>
    </w:p>
    <w:p w14:paraId="368B00E8" w14:textId="1CF4660D" w:rsidR="0080574D" w:rsidRPr="009E108D" w:rsidRDefault="003B340C" w:rsidP="001F066E">
      <w:pPr>
        <w:spacing w:after="0" w:line="240" w:lineRule="auto"/>
        <w:jc w:val="both"/>
        <w:rPr>
          <w:rFonts w:cstheme="minorHAnsi"/>
          <w:sz w:val="20"/>
          <w:lang w:val="nl-BE"/>
        </w:rPr>
      </w:pPr>
      <w:r w:rsidRPr="009E108D">
        <w:rPr>
          <w:rFonts w:cstheme="minorHAnsi"/>
          <w:sz w:val="20"/>
          <w:u w:val="single"/>
          <w:lang w:val="nl-BE"/>
        </w:rPr>
        <w:t>Noot 1</w:t>
      </w:r>
      <w:r w:rsidRPr="009E108D">
        <w:rPr>
          <w:rFonts w:cstheme="minorHAnsi"/>
          <w:sz w:val="20"/>
          <w:lang w:val="nl-BE"/>
        </w:rPr>
        <w:t xml:space="preserve">: het aantal dagen betreft werkdagen en </w:t>
      </w:r>
      <w:r w:rsidR="00465A37" w:rsidRPr="009E108D">
        <w:rPr>
          <w:rFonts w:cstheme="minorHAnsi"/>
          <w:sz w:val="20"/>
          <w:lang w:val="nl-BE"/>
        </w:rPr>
        <w:t xml:space="preserve">is indicatief. Het </w:t>
      </w:r>
      <w:r w:rsidRPr="009E108D">
        <w:rPr>
          <w:rFonts w:cstheme="minorHAnsi"/>
          <w:sz w:val="20"/>
          <w:lang w:val="nl-BE"/>
        </w:rPr>
        <w:t xml:space="preserve">kan variëren </w:t>
      </w:r>
      <w:proofErr w:type="spellStart"/>
      <w:r w:rsidRPr="009E108D">
        <w:rPr>
          <w:rFonts w:cstheme="minorHAnsi"/>
          <w:sz w:val="20"/>
          <w:lang w:val="nl-BE"/>
        </w:rPr>
        <w:t>i.f.v</w:t>
      </w:r>
      <w:proofErr w:type="spellEnd"/>
      <w:r w:rsidRPr="009E108D">
        <w:rPr>
          <w:rFonts w:cstheme="minorHAnsi"/>
          <w:sz w:val="20"/>
          <w:lang w:val="nl-BE"/>
        </w:rPr>
        <w:t>. omstandigheden zoals he</w:t>
      </w:r>
      <w:r w:rsidR="00465A37" w:rsidRPr="009E108D">
        <w:rPr>
          <w:rFonts w:cstheme="minorHAnsi"/>
          <w:sz w:val="20"/>
          <w:lang w:val="nl-BE"/>
        </w:rPr>
        <w:t>t bekomen van een zuivere kweek.</w:t>
      </w:r>
    </w:p>
    <w:p w14:paraId="0DAEA71D" w14:textId="0D15DD6A" w:rsidR="003B340C" w:rsidRPr="009E108D" w:rsidRDefault="003B340C" w:rsidP="001F066E">
      <w:pPr>
        <w:spacing w:after="0" w:line="240" w:lineRule="auto"/>
        <w:jc w:val="both"/>
        <w:rPr>
          <w:rFonts w:cstheme="minorHAnsi"/>
          <w:sz w:val="20"/>
          <w:lang w:val="nl-BE"/>
        </w:rPr>
      </w:pPr>
      <w:r w:rsidRPr="009E108D">
        <w:rPr>
          <w:rFonts w:cstheme="minorHAnsi"/>
          <w:sz w:val="20"/>
          <w:u w:val="single"/>
          <w:lang w:val="nl-BE"/>
        </w:rPr>
        <w:t>Noot 2</w:t>
      </w:r>
      <w:r w:rsidRPr="009E108D">
        <w:rPr>
          <w:rFonts w:cstheme="minorHAnsi"/>
          <w:sz w:val="20"/>
          <w:lang w:val="nl-BE"/>
        </w:rPr>
        <w:t xml:space="preserve">: daar ze niet belangrijk zijn voor de risicoclassificatie </w:t>
      </w:r>
      <w:r w:rsidR="005B20BE" w:rsidRPr="009E108D">
        <w:rPr>
          <w:rFonts w:cstheme="minorHAnsi"/>
          <w:sz w:val="20"/>
          <w:lang w:val="nl-BE"/>
        </w:rPr>
        <w:t>van de stamme</w:t>
      </w:r>
      <w:r w:rsidRPr="009E108D">
        <w:rPr>
          <w:rFonts w:cstheme="minorHAnsi"/>
          <w:sz w:val="20"/>
          <w:lang w:val="nl-BE"/>
        </w:rPr>
        <w:t xml:space="preserve">n zullen de resultaten van de trimestrieel uitgevoerde testen </w:t>
      </w:r>
      <w:r w:rsidR="00465A37" w:rsidRPr="009E108D">
        <w:rPr>
          <w:rFonts w:cstheme="minorHAnsi"/>
          <w:sz w:val="20"/>
          <w:lang w:val="nl-BE"/>
        </w:rPr>
        <w:t xml:space="preserve">niet </w:t>
      </w:r>
      <w:r w:rsidRPr="009E108D">
        <w:rPr>
          <w:rFonts w:cstheme="minorHAnsi"/>
          <w:sz w:val="20"/>
          <w:lang w:val="nl-BE"/>
        </w:rPr>
        <w:t>individueel worden gerapporteerd, tenzij op expliciet verzoek.</w:t>
      </w:r>
    </w:p>
    <w:p w14:paraId="004DCD6B" w14:textId="77777777" w:rsidR="003B340C" w:rsidRPr="0080574D" w:rsidRDefault="003B340C" w:rsidP="001F066E">
      <w:pPr>
        <w:spacing w:after="0" w:line="240" w:lineRule="auto"/>
        <w:jc w:val="both"/>
        <w:rPr>
          <w:rFonts w:cstheme="minorHAnsi"/>
          <w:b/>
          <w:lang w:val="nl-BE"/>
        </w:rPr>
      </w:pPr>
    </w:p>
    <w:p w14:paraId="43CE3918" w14:textId="2CE99CB3" w:rsidR="00C33DF9" w:rsidRPr="009E108D" w:rsidRDefault="009E108D" w:rsidP="001F066E">
      <w:pPr>
        <w:spacing w:after="0" w:line="240" w:lineRule="auto"/>
        <w:jc w:val="both"/>
        <w:rPr>
          <w:rFonts w:cstheme="minorHAnsi"/>
          <w:b/>
          <w:lang w:val="nl-BE"/>
        </w:rPr>
      </w:pPr>
      <w:r>
        <w:rPr>
          <w:rFonts w:cstheme="minorHAnsi"/>
          <w:b/>
          <w:lang w:val="nl-BE"/>
        </w:rPr>
        <w:t>Risico</w:t>
      </w:r>
      <w:r w:rsidR="00C33DF9" w:rsidRPr="009E108D">
        <w:rPr>
          <w:rFonts w:cstheme="minorHAnsi"/>
          <w:b/>
          <w:lang w:val="nl-BE"/>
        </w:rPr>
        <w:t>classificatie van STEC stammen</w:t>
      </w:r>
    </w:p>
    <w:p w14:paraId="6446E1AC" w14:textId="3D08B3FF" w:rsidR="00C33DF9" w:rsidRDefault="00C33DF9" w:rsidP="001F066E">
      <w:pPr>
        <w:spacing w:after="0" w:line="240" w:lineRule="auto"/>
        <w:jc w:val="both"/>
        <w:rPr>
          <w:rFonts w:cstheme="minorHAnsi"/>
          <w:lang w:val="nl-BE"/>
        </w:rPr>
      </w:pPr>
      <w:r w:rsidRPr="00C33DF9">
        <w:rPr>
          <w:rFonts w:cstheme="minorHAnsi"/>
          <w:lang w:val="nl-BE"/>
        </w:rPr>
        <w:t>Steunend op de resultaten van onze studie en het voorstel van</w:t>
      </w:r>
      <w:r w:rsidR="00EF553C">
        <w:rPr>
          <w:rFonts w:cstheme="minorHAnsi"/>
          <w:lang w:val="nl-BE"/>
        </w:rPr>
        <w:t xml:space="preserve"> Flemming</w:t>
      </w:r>
      <w:r w:rsidRPr="00C33DF9">
        <w:rPr>
          <w:rFonts w:cstheme="minorHAnsi"/>
          <w:lang w:val="nl-BE"/>
        </w:rPr>
        <w:t xml:space="preserve"> Scheutz (2014)</w:t>
      </w:r>
      <w:r w:rsidR="009E108D">
        <w:rPr>
          <w:rFonts w:cstheme="minorHAnsi"/>
          <w:lang w:val="nl-BE"/>
        </w:rPr>
        <w:t xml:space="preserve"> stellen we onderstaande risico</w:t>
      </w:r>
      <w:r w:rsidRPr="00C33DF9">
        <w:rPr>
          <w:rFonts w:cstheme="minorHAnsi"/>
          <w:lang w:val="nl-BE"/>
        </w:rPr>
        <w:t>classificatie voor</w:t>
      </w:r>
      <w:r w:rsidR="00EF553C">
        <w:rPr>
          <w:rFonts w:cstheme="minorHAnsi"/>
          <w:lang w:val="nl-BE"/>
        </w:rPr>
        <w:t>:</w:t>
      </w:r>
    </w:p>
    <w:p w14:paraId="0E4C5FA6" w14:textId="77777777" w:rsidR="001F066E" w:rsidRPr="00C33DF9" w:rsidRDefault="001F066E" w:rsidP="001F066E">
      <w:pPr>
        <w:spacing w:after="0" w:line="240" w:lineRule="auto"/>
        <w:jc w:val="both"/>
        <w:rPr>
          <w:rFonts w:cstheme="minorHAnsi"/>
          <w:lang w:val="nl-BE"/>
        </w:rPr>
      </w:pPr>
    </w:p>
    <w:tbl>
      <w:tblPr>
        <w:tblStyle w:val="MediumGrid3-Accent3"/>
        <w:tblW w:w="0" w:type="auto"/>
        <w:jc w:val="center"/>
        <w:tblLook w:val="04A0" w:firstRow="1" w:lastRow="0" w:firstColumn="1" w:lastColumn="0" w:noHBand="0" w:noVBand="1"/>
      </w:tblPr>
      <w:tblGrid>
        <w:gridCol w:w="3188"/>
        <w:gridCol w:w="5193"/>
      </w:tblGrid>
      <w:tr w:rsidR="00C33DF9" w:rsidRPr="009E108D" w14:paraId="7C3A9C81" w14:textId="77777777" w:rsidTr="0000571F">
        <w:trPr>
          <w:cnfStyle w:val="100000000000" w:firstRow="1" w:lastRow="0" w:firstColumn="0" w:lastColumn="0" w:oddVBand="0" w:evenVBand="0" w:oddHBand="0"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3188" w:type="dxa"/>
            <w:vAlign w:val="center"/>
            <w:hideMark/>
          </w:tcPr>
          <w:p w14:paraId="22FE26D1" w14:textId="77777777" w:rsidR="00C33DF9" w:rsidRPr="009E108D" w:rsidRDefault="00C33DF9" w:rsidP="009E108D">
            <w:pPr>
              <w:rPr>
                <w:rFonts w:eastAsia="Times New Roman" w:cstheme="minorHAnsi"/>
                <w:color w:val="0D0D0D" w:themeColor="text1" w:themeTint="F2"/>
                <w:lang w:val="nl-BE" w:eastAsia="nl-BE"/>
              </w:rPr>
            </w:pPr>
            <w:r w:rsidRPr="009E108D">
              <w:rPr>
                <w:rFonts w:eastAsia="Times New Roman" w:cstheme="minorHAnsi"/>
                <w:bCs w:val="0"/>
                <w:color w:val="0D0D0D" w:themeColor="text1" w:themeTint="F2"/>
                <w:kern w:val="24"/>
                <w:lang w:val="nl-BE" w:eastAsia="nl-BE"/>
              </w:rPr>
              <w:t>Risico voor HUS ontwikkeling</w:t>
            </w:r>
          </w:p>
        </w:tc>
        <w:tc>
          <w:tcPr>
            <w:tcW w:w="5193" w:type="dxa"/>
            <w:vAlign w:val="center"/>
            <w:hideMark/>
          </w:tcPr>
          <w:p w14:paraId="0B23ECA8" w14:textId="0D418AE6" w:rsidR="00C33DF9" w:rsidRPr="009E108D" w:rsidRDefault="00C828D8" w:rsidP="009E108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D0D0D" w:themeColor="text1" w:themeTint="F2"/>
                <w:lang w:val="nl-BE" w:eastAsia="nl-BE"/>
              </w:rPr>
            </w:pPr>
            <w:proofErr w:type="spellStart"/>
            <w:r w:rsidRPr="00C828D8">
              <w:rPr>
                <w:rFonts w:eastAsia="Times New Roman" w:cstheme="minorHAnsi"/>
                <w:bCs w:val="0"/>
                <w:iCs/>
                <w:color w:val="0D0D0D" w:themeColor="text1" w:themeTint="F2"/>
                <w:kern w:val="24"/>
                <w:lang w:val="nl-BE" w:eastAsia="nl-BE"/>
              </w:rPr>
              <w:t>Shiga</w:t>
            </w:r>
            <w:proofErr w:type="spellEnd"/>
            <w:r w:rsidRPr="00C828D8">
              <w:rPr>
                <w:rFonts w:eastAsia="Times New Roman" w:cstheme="minorHAnsi"/>
                <w:bCs w:val="0"/>
                <w:iCs/>
                <w:color w:val="0D0D0D" w:themeColor="text1" w:themeTint="F2"/>
                <w:kern w:val="24"/>
                <w:lang w:val="nl-BE" w:eastAsia="nl-BE"/>
              </w:rPr>
              <w:t xml:space="preserve"> toxine</w:t>
            </w:r>
            <w:r>
              <w:rPr>
                <w:rFonts w:eastAsia="Times New Roman" w:cstheme="minorHAnsi"/>
                <w:bCs w:val="0"/>
                <w:i/>
                <w:iCs/>
                <w:color w:val="0D0D0D" w:themeColor="text1" w:themeTint="F2"/>
                <w:kern w:val="24"/>
                <w:lang w:val="nl-BE" w:eastAsia="nl-BE"/>
              </w:rPr>
              <w:t xml:space="preserve"> </w:t>
            </w:r>
            <w:r w:rsidRPr="00C828D8">
              <w:rPr>
                <w:rFonts w:eastAsia="Times New Roman" w:cstheme="minorHAnsi"/>
                <w:bCs w:val="0"/>
                <w:iCs/>
                <w:color w:val="0D0D0D" w:themeColor="text1" w:themeTint="F2"/>
                <w:kern w:val="24"/>
                <w:lang w:val="nl-BE" w:eastAsia="nl-BE"/>
              </w:rPr>
              <w:t>(</w:t>
            </w:r>
            <w:proofErr w:type="spellStart"/>
            <w:r w:rsidR="00C33DF9" w:rsidRPr="009E108D">
              <w:rPr>
                <w:rFonts w:eastAsia="Times New Roman" w:cstheme="minorHAnsi"/>
                <w:bCs w:val="0"/>
                <w:i/>
                <w:iCs/>
                <w:color w:val="0D0D0D" w:themeColor="text1" w:themeTint="F2"/>
                <w:kern w:val="24"/>
                <w:lang w:val="nl-BE" w:eastAsia="nl-BE"/>
              </w:rPr>
              <w:t>stx</w:t>
            </w:r>
            <w:proofErr w:type="spellEnd"/>
            <w:r w:rsidRPr="00C828D8">
              <w:rPr>
                <w:rFonts w:eastAsia="Times New Roman" w:cstheme="minorHAnsi"/>
                <w:bCs w:val="0"/>
                <w:iCs/>
                <w:color w:val="0D0D0D" w:themeColor="text1" w:themeTint="F2"/>
                <w:kern w:val="24"/>
                <w:lang w:val="nl-BE" w:eastAsia="nl-BE"/>
              </w:rPr>
              <w:t>)</w:t>
            </w:r>
            <w:r w:rsidR="00C33DF9" w:rsidRPr="00C828D8">
              <w:rPr>
                <w:rFonts w:eastAsia="Times New Roman" w:cstheme="minorHAnsi"/>
                <w:bCs w:val="0"/>
                <w:color w:val="0D0D0D" w:themeColor="text1" w:themeTint="F2"/>
                <w:kern w:val="24"/>
                <w:lang w:val="nl-BE" w:eastAsia="nl-BE"/>
              </w:rPr>
              <w:t xml:space="preserve"> </w:t>
            </w:r>
            <w:r w:rsidR="00C33DF9" w:rsidRPr="009E108D">
              <w:rPr>
                <w:rFonts w:eastAsia="Times New Roman" w:cstheme="minorHAnsi"/>
                <w:bCs w:val="0"/>
                <w:color w:val="0D0D0D" w:themeColor="text1" w:themeTint="F2"/>
                <w:kern w:val="24"/>
                <w:lang w:val="nl-BE" w:eastAsia="nl-BE"/>
              </w:rPr>
              <w:t>(sub)type</w:t>
            </w:r>
            <w:r w:rsidR="001F066E" w:rsidRPr="009E108D">
              <w:rPr>
                <w:rFonts w:eastAsia="Times New Roman" w:cstheme="minorHAnsi"/>
                <w:bCs w:val="0"/>
                <w:color w:val="0D0D0D" w:themeColor="text1" w:themeTint="F2"/>
                <w:kern w:val="24"/>
                <w:lang w:val="nl-BE" w:eastAsia="nl-BE"/>
              </w:rPr>
              <w:t>*</w:t>
            </w:r>
          </w:p>
        </w:tc>
      </w:tr>
      <w:tr w:rsidR="00C33DF9" w:rsidRPr="009E108D" w14:paraId="24C399F5" w14:textId="77777777" w:rsidTr="0000571F">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3188" w:type="dxa"/>
            <w:vAlign w:val="center"/>
            <w:hideMark/>
          </w:tcPr>
          <w:p w14:paraId="6F92F8E5" w14:textId="77777777" w:rsidR="00C33DF9" w:rsidRPr="009E108D" w:rsidRDefault="00C33DF9" w:rsidP="009E108D">
            <w:pPr>
              <w:rPr>
                <w:rFonts w:eastAsia="Times New Roman" w:cstheme="minorHAnsi"/>
                <w:color w:val="0D0D0D" w:themeColor="text1" w:themeTint="F2"/>
                <w:lang w:val="nl-BE" w:eastAsia="nl-BE"/>
              </w:rPr>
            </w:pPr>
            <w:r w:rsidRPr="009E108D">
              <w:rPr>
                <w:rFonts w:eastAsia="Times New Roman" w:cstheme="minorHAnsi"/>
                <w:b w:val="0"/>
                <w:bCs w:val="0"/>
                <w:color w:val="0D0D0D" w:themeColor="text1" w:themeTint="F2"/>
                <w:kern w:val="24"/>
                <w:lang w:val="nl-BE" w:eastAsia="nl-BE"/>
              </w:rPr>
              <w:t>Hoog</w:t>
            </w:r>
          </w:p>
        </w:tc>
        <w:tc>
          <w:tcPr>
            <w:tcW w:w="5193" w:type="dxa"/>
            <w:vAlign w:val="center"/>
            <w:hideMark/>
          </w:tcPr>
          <w:p w14:paraId="74636917" w14:textId="77777777" w:rsidR="00C33DF9" w:rsidRPr="009E108D" w:rsidRDefault="00C33DF9" w:rsidP="009E10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D0D0D" w:themeColor="text1" w:themeTint="F2"/>
                <w:lang w:eastAsia="nl-BE"/>
              </w:rPr>
            </w:pPr>
            <w:r w:rsidRPr="00C828D8">
              <w:rPr>
                <w:rFonts w:eastAsia="Times New Roman" w:cstheme="minorHAnsi"/>
                <w:bCs/>
                <w:i/>
                <w:iCs/>
                <w:color w:val="0D0D0D" w:themeColor="text1" w:themeTint="F2"/>
                <w:kern w:val="24"/>
                <w:u w:val="single"/>
                <w:lang w:eastAsia="nl-BE"/>
              </w:rPr>
              <w:t>stx2a</w:t>
            </w:r>
            <w:r w:rsidRPr="00C828D8">
              <w:rPr>
                <w:rFonts w:eastAsia="Times New Roman" w:cstheme="minorHAnsi"/>
                <w:bCs/>
                <w:color w:val="0D0D0D" w:themeColor="text1" w:themeTint="F2"/>
                <w:kern w:val="24"/>
                <w:u w:val="single"/>
                <w:lang w:eastAsia="nl-BE"/>
              </w:rPr>
              <w:t xml:space="preserve"> of </w:t>
            </w:r>
            <w:r w:rsidRPr="00C828D8">
              <w:rPr>
                <w:rFonts w:eastAsia="Times New Roman" w:cstheme="minorHAnsi"/>
                <w:bCs/>
                <w:i/>
                <w:iCs/>
                <w:color w:val="0D0D0D" w:themeColor="text1" w:themeTint="F2"/>
                <w:kern w:val="24"/>
                <w:u w:val="single"/>
                <w:lang w:eastAsia="nl-BE"/>
              </w:rPr>
              <w:t>stx2d</w:t>
            </w:r>
            <w:r w:rsidRPr="009E108D">
              <w:rPr>
                <w:rFonts w:eastAsia="Times New Roman" w:cstheme="minorHAnsi"/>
                <w:b/>
                <w:bCs/>
                <w:color w:val="0D0D0D" w:themeColor="text1" w:themeTint="F2"/>
                <w:kern w:val="24"/>
                <w:lang w:eastAsia="nl-BE"/>
              </w:rPr>
              <w:t xml:space="preserve"> </w:t>
            </w:r>
            <w:proofErr w:type="spellStart"/>
            <w:r w:rsidRPr="009E108D">
              <w:rPr>
                <w:rFonts w:eastAsia="Times New Roman" w:cstheme="minorHAnsi"/>
                <w:color w:val="0D0D0D" w:themeColor="text1" w:themeTint="F2"/>
                <w:kern w:val="24"/>
                <w:lang w:eastAsia="nl-BE"/>
              </w:rPr>
              <w:t>positieve</w:t>
            </w:r>
            <w:proofErr w:type="spellEnd"/>
            <w:r w:rsidRPr="009E108D">
              <w:rPr>
                <w:rFonts w:eastAsia="Times New Roman" w:cstheme="minorHAnsi"/>
                <w:color w:val="0D0D0D" w:themeColor="text1" w:themeTint="F2"/>
                <w:kern w:val="24"/>
                <w:lang w:eastAsia="nl-BE"/>
              </w:rPr>
              <w:t xml:space="preserve"> </w:t>
            </w:r>
            <w:proofErr w:type="spellStart"/>
            <w:r w:rsidRPr="009E108D">
              <w:rPr>
                <w:rFonts w:eastAsia="Times New Roman" w:cstheme="minorHAnsi"/>
                <w:color w:val="0D0D0D" w:themeColor="text1" w:themeTint="F2"/>
                <w:kern w:val="24"/>
                <w:lang w:eastAsia="nl-BE"/>
              </w:rPr>
              <w:t>stammen</w:t>
            </w:r>
            <w:proofErr w:type="spellEnd"/>
          </w:p>
        </w:tc>
      </w:tr>
      <w:tr w:rsidR="00C33DF9" w:rsidRPr="007415F1" w14:paraId="531459EC" w14:textId="77777777" w:rsidTr="0000571F">
        <w:trPr>
          <w:trHeight w:val="469"/>
          <w:jc w:val="center"/>
        </w:trPr>
        <w:tc>
          <w:tcPr>
            <w:cnfStyle w:val="001000000000" w:firstRow="0" w:lastRow="0" w:firstColumn="1" w:lastColumn="0" w:oddVBand="0" w:evenVBand="0" w:oddHBand="0" w:evenHBand="0" w:firstRowFirstColumn="0" w:firstRowLastColumn="0" w:lastRowFirstColumn="0" w:lastRowLastColumn="0"/>
            <w:tcW w:w="3188" w:type="dxa"/>
            <w:vAlign w:val="center"/>
            <w:hideMark/>
          </w:tcPr>
          <w:p w14:paraId="7EF6168E" w14:textId="77777777" w:rsidR="00C33DF9" w:rsidRPr="009E108D" w:rsidRDefault="00C33DF9" w:rsidP="009E108D">
            <w:pPr>
              <w:rPr>
                <w:rFonts w:eastAsia="Times New Roman" w:cstheme="minorHAnsi"/>
                <w:color w:val="0D0D0D" w:themeColor="text1" w:themeTint="F2"/>
                <w:lang w:val="nl-BE" w:eastAsia="nl-BE"/>
              </w:rPr>
            </w:pPr>
            <w:r w:rsidRPr="009E108D">
              <w:rPr>
                <w:rFonts w:eastAsia="Times New Roman" w:cstheme="minorHAnsi"/>
                <w:b w:val="0"/>
                <w:bCs w:val="0"/>
                <w:color w:val="0D0D0D" w:themeColor="text1" w:themeTint="F2"/>
                <w:kern w:val="24"/>
                <w:lang w:val="nl-BE" w:eastAsia="nl-BE"/>
              </w:rPr>
              <w:t>Intermediair</w:t>
            </w:r>
          </w:p>
        </w:tc>
        <w:tc>
          <w:tcPr>
            <w:tcW w:w="5193" w:type="dxa"/>
            <w:vAlign w:val="center"/>
            <w:hideMark/>
          </w:tcPr>
          <w:p w14:paraId="41CC3B86" w14:textId="77777777" w:rsidR="00C33DF9" w:rsidRPr="009E108D" w:rsidRDefault="00C33DF9" w:rsidP="009E108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D0D0D" w:themeColor="text1" w:themeTint="F2"/>
                <w:lang w:val="nl-BE" w:eastAsia="nl-BE"/>
              </w:rPr>
            </w:pPr>
            <w:r w:rsidRPr="009E108D">
              <w:rPr>
                <w:rFonts w:eastAsia="Times New Roman" w:cstheme="minorHAnsi"/>
                <w:color w:val="0D0D0D" w:themeColor="text1" w:themeTint="F2"/>
                <w:kern w:val="24"/>
                <w:lang w:val="nl-BE" w:eastAsia="nl-BE"/>
              </w:rPr>
              <w:t xml:space="preserve">Andere </w:t>
            </w:r>
            <w:r w:rsidRPr="00C828D8">
              <w:rPr>
                <w:rFonts w:eastAsia="Times New Roman" w:cstheme="minorHAnsi"/>
                <w:bCs/>
                <w:i/>
                <w:iCs/>
                <w:color w:val="0D0D0D" w:themeColor="text1" w:themeTint="F2"/>
                <w:kern w:val="24"/>
                <w:u w:val="single"/>
                <w:lang w:val="nl-BE" w:eastAsia="nl-BE"/>
              </w:rPr>
              <w:t>stx2</w:t>
            </w:r>
            <w:r w:rsidRPr="009E108D">
              <w:rPr>
                <w:rFonts w:eastAsia="Times New Roman" w:cstheme="minorHAnsi"/>
                <w:color w:val="0D0D0D" w:themeColor="text1" w:themeTint="F2"/>
                <w:kern w:val="24"/>
                <w:lang w:val="nl-BE" w:eastAsia="nl-BE"/>
              </w:rPr>
              <w:t xml:space="preserve"> positieve stammen (met of zonder </w:t>
            </w:r>
            <w:r w:rsidRPr="009E108D">
              <w:rPr>
                <w:rFonts w:eastAsia="Times New Roman" w:cstheme="minorHAnsi"/>
                <w:i/>
                <w:iCs/>
                <w:color w:val="0D0D0D" w:themeColor="text1" w:themeTint="F2"/>
                <w:kern w:val="24"/>
                <w:lang w:val="nl-BE" w:eastAsia="nl-BE"/>
              </w:rPr>
              <w:t>stx1</w:t>
            </w:r>
            <w:r w:rsidRPr="009E108D">
              <w:rPr>
                <w:rFonts w:eastAsia="Times New Roman" w:cstheme="minorHAnsi"/>
                <w:color w:val="0D0D0D" w:themeColor="text1" w:themeTint="F2"/>
                <w:kern w:val="24"/>
                <w:lang w:val="nl-BE" w:eastAsia="nl-BE"/>
              </w:rPr>
              <w:t>)</w:t>
            </w:r>
          </w:p>
        </w:tc>
      </w:tr>
      <w:tr w:rsidR="00C33DF9" w:rsidRPr="007415F1" w14:paraId="10F2ED78" w14:textId="77777777" w:rsidTr="0000571F">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3188" w:type="dxa"/>
            <w:vAlign w:val="center"/>
            <w:hideMark/>
          </w:tcPr>
          <w:p w14:paraId="4ECA8F32" w14:textId="77777777" w:rsidR="00C33DF9" w:rsidRPr="009E108D" w:rsidRDefault="00C33DF9" w:rsidP="009E108D">
            <w:pPr>
              <w:rPr>
                <w:rFonts w:eastAsia="Times New Roman" w:cstheme="minorHAnsi"/>
                <w:color w:val="0D0D0D" w:themeColor="text1" w:themeTint="F2"/>
                <w:lang w:val="nl-BE" w:eastAsia="nl-BE"/>
              </w:rPr>
            </w:pPr>
            <w:r w:rsidRPr="009E108D">
              <w:rPr>
                <w:rFonts w:eastAsia="Times New Roman" w:cstheme="minorHAnsi"/>
                <w:b w:val="0"/>
                <w:bCs w:val="0"/>
                <w:color w:val="0D0D0D" w:themeColor="text1" w:themeTint="F2"/>
                <w:kern w:val="24"/>
                <w:lang w:val="nl-BE" w:eastAsia="nl-BE"/>
              </w:rPr>
              <w:t>Laag</w:t>
            </w:r>
          </w:p>
        </w:tc>
        <w:tc>
          <w:tcPr>
            <w:tcW w:w="5193" w:type="dxa"/>
            <w:vAlign w:val="center"/>
            <w:hideMark/>
          </w:tcPr>
          <w:p w14:paraId="4BE4508C" w14:textId="77777777" w:rsidR="00C33DF9" w:rsidRPr="009E108D" w:rsidRDefault="00C33DF9" w:rsidP="009E10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D0D0D" w:themeColor="text1" w:themeTint="F2"/>
                <w:lang w:val="nl-BE" w:eastAsia="nl-BE"/>
              </w:rPr>
            </w:pPr>
            <w:r w:rsidRPr="00C828D8">
              <w:rPr>
                <w:rFonts w:eastAsia="Times New Roman" w:cstheme="minorHAnsi"/>
                <w:bCs/>
                <w:i/>
                <w:iCs/>
                <w:color w:val="0D0D0D" w:themeColor="text1" w:themeTint="F2"/>
                <w:kern w:val="24"/>
                <w:u w:val="single"/>
                <w:lang w:val="nl-BE" w:eastAsia="nl-BE"/>
              </w:rPr>
              <w:t>stx1</w:t>
            </w:r>
            <w:r w:rsidRPr="009E108D">
              <w:rPr>
                <w:rFonts w:eastAsia="Times New Roman" w:cstheme="minorHAnsi"/>
                <w:b/>
                <w:bCs/>
                <w:color w:val="0D0D0D" w:themeColor="text1" w:themeTint="F2"/>
                <w:kern w:val="24"/>
                <w:lang w:val="nl-BE" w:eastAsia="nl-BE"/>
              </w:rPr>
              <w:t xml:space="preserve"> </w:t>
            </w:r>
            <w:r w:rsidRPr="009E108D">
              <w:rPr>
                <w:rFonts w:eastAsia="Times New Roman" w:cstheme="minorHAnsi"/>
                <w:color w:val="0D0D0D" w:themeColor="text1" w:themeTint="F2"/>
                <w:kern w:val="24"/>
                <w:lang w:val="nl-BE" w:eastAsia="nl-BE"/>
              </w:rPr>
              <w:t xml:space="preserve">positieve stammen (zonder </w:t>
            </w:r>
            <w:r w:rsidRPr="009E108D">
              <w:rPr>
                <w:rFonts w:eastAsia="Times New Roman" w:cstheme="minorHAnsi"/>
                <w:i/>
                <w:color w:val="0D0D0D" w:themeColor="text1" w:themeTint="F2"/>
                <w:kern w:val="24"/>
                <w:lang w:val="nl-BE" w:eastAsia="nl-BE"/>
              </w:rPr>
              <w:t>stx2</w:t>
            </w:r>
            <w:r w:rsidRPr="009E108D">
              <w:rPr>
                <w:rFonts w:eastAsia="Times New Roman" w:cstheme="minorHAnsi"/>
                <w:color w:val="0D0D0D" w:themeColor="text1" w:themeTint="F2"/>
                <w:kern w:val="24"/>
                <w:lang w:val="nl-BE" w:eastAsia="nl-BE"/>
              </w:rPr>
              <w:t>)</w:t>
            </w:r>
          </w:p>
        </w:tc>
      </w:tr>
    </w:tbl>
    <w:p w14:paraId="528CC991" w14:textId="5679A512" w:rsidR="00C33DF9" w:rsidRPr="0000571F" w:rsidRDefault="001F066E" w:rsidP="0000571F">
      <w:pPr>
        <w:ind w:left="709" w:right="283" w:hanging="142"/>
        <w:rPr>
          <w:b/>
          <w:sz w:val="21"/>
          <w:szCs w:val="21"/>
          <w:lang w:val="nl-BE"/>
        </w:rPr>
      </w:pPr>
      <w:r w:rsidRPr="0000571F">
        <w:rPr>
          <w:rFonts w:cstheme="minorHAnsi"/>
          <w:sz w:val="21"/>
          <w:szCs w:val="21"/>
          <w:lang w:val="nl-BE"/>
        </w:rPr>
        <w:t xml:space="preserve">*De aanwezigheid van </w:t>
      </w:r>
      <w:proofErr w:type="spellStart"/>
      <w:r w:rsidR="00C33DF9" w:rsidRPr="0000571F">
        <w:rPr>
          <w:rFonts w:cstheme="minorHAnsi"/>
          <w:i/>
          <w:sz w:val="21"/>
          <w:szCs w:val="21"/>
          <w:lang w:val="nl-BE"/>
        </w:rPr>
        <w:t>eaeA</w:t>
      </w:r>
      <w:proofErr w:type="spellEnd"/>
      <w:r w:rsidR="00C33DF9" w:rsidRPr="0000571F">
        <w:rPr>
          <w:rFonts w:cstheme="minorHAnsi"/>
          <w:sz w:val="21"/>
          <w:szCs w:val="21"/>
          <w:lang w:val="nl-BE"/>
        </w:rPr>
        <w:t xml:space="preserve"> o</w:t>
      </w:r>
      <w:r w:rsidRPr="0000571F">
        <w:rPr>
          <w:rFonts w:cstheme="minorHAnsi"/>
          <w:sz w:val="21"/>
          <w:szCs w:val="21"/>
          <w:lang w:val="nl-BE"/>
        </w:rPr>
        <w:t>f</w:t>
      </w:r>
      <w:r w:rsidR="00C33DF9" w:rsidRPr="0000571F">
        <w:rPr>
          <w:rFonts w:cstheme="minorHAnsi"/>
          <w:sz w:val="21"/>
          <w:szCs w:val="21"/>
          <w:lang w:val="nl-BE"/>
        </w:rPr>
        <w:t xml:space="preserve"> </w:t>
      </w:r>
      <w:proofErr w:type="spellStart"/>
      <w:r w:rsidR="00C33DF9" w:rsidRPr="0000571F">
        <w:rPr>
          <w:rFonts w:cstheme="minorHAnsi"/>
          <w:i/>
          <w:sz w:val="21"/>
          <w:szCs w:val="21"/>
          <w:lang w:val="nl-BE"/>
        </w:rPr>
        <w:t>aaiC</w:t>
      </w:r>
      <w:proofErr w:type="spellEnd"/>
      <w:r w:rsidR="00C33DF9" w:rsidRPr="0000571F">
        <w:rPr>
          <w:rFonts w:cstheme="minorHAnsi"/>
          <w:i/>
          <w:sz w:val="21"/>
          <w:szCs w:val="21"/>
          <w:lang w:val="nl-BE"/>
        </w:rPr>
        <w:t>/</w:t>
      </w:r>
      <w:proofErr w:type="spellStart"/>
      <w:r w:rsidR="00C33DF9" w:rsidRPr="0000571F">
        <w:rPr>
          <w:rFonts w:cstheme="minorHAnsi"/>
          <w:i/>
          <w:sz w:val="21"/>
          <w:szCs w:val="21"/>
          <w:lang w:val="nl-BE"/>
        </w:rPr>
        <w:t>aggR</w:t>
      </w:r>
      <w:proofErr w:type="spellEnd"/>
      <w:r w:rsidRPr="0000571F">
        <w:rPr>
          <w:rFonts w:cstheme="minorHAnsi"/>
          <w:i/>
          <w:sz w:val="21"/>
          <w:szCs w:val="21"/>
          <w:lang w:val="nl-BE"/>
        </w:rPr>
        <w:t xml:space="preserve"> </w:t>
      </w:r>
      <w:r w:rsidR="00C828D8">
        <w:rPr>
          <w:rFonts w:cstheme="minorHAnsi"/>
          <w:sz w:val="21"/>
          <w:szCs w:val="21"/>
          <w:lang w:val="nl-BE"/>
        </w:rPr>
        <w:t>genen werd</w:t>
      </w:r>
      <w:r w:rsidRPr="0000571F">
        <w:rPr>
          <w:rFonts w:cstheme="minorHAnsi"/>
          <w:sz w:val="21"/>
          <w:szCs w:val="21"/>
          <w:lang w:val="nl-BE"/>
        </w:rPr>
        <w:t xml:space="preserve"> ook geassocieerd met een hoger risico voor HUS ontwikkeling.</w:t>
      </w:r>
    </w:p>
    <w:p w14:paraId="0F51E5D1" w14:textId="77777777" w:rsidR="009E108D" w:rsidRPr="009E108D" w:rsidRDefault="009E108D">
      <w:pPr>
        <w:rPr>
          <w:b/>
          <w:lang w:val="nl-BE"/>
        </w:rPr>
      </w:pPr>
      <w:bookmarkStart w:id="0" w:name="_GoBack"/>
      <w:bookmarkEnd w:id="0"/>
    </w:p>
    <w:p w14:paraId="7E1DA99F" w14:textId="77777777" w:rsidR="00687776" w:rsidRPr="00687776" w:rsidRDefault="00687776">
      <w:pPr>
        <w:rPr>
          <w:b/>
          <w:lang w:val="en-GB"/>
        </w:rPr>
      </w:pPr>
      <w:proofErr w:type="spellStart"/>
      <w:r w:rsidRPr="00687776">
        <w:rPr>
          <w:b/>
          <w:lang w:val="en-GB"/>
        </w:rPr>
        <w:t>Referenties</w:t>
      </w:r>
      <w:proofErr w:type="spellEnd"/>
    </w:p>
    <w:p w14:paraId="530132D2" w14:textId="77777777" w:rsidR="00687776" w:rsidRPr="00673C5E" w:rsidRDefault="00687776" w:rsidP="00687776">
      <w:r w:rsidRPr="00687776">
        <w:rPr>
          <w:lang w:val="en-GB"/>
        </w:rPr>
        <w:t xml:space="preserve">1. Scheutz F. Taxonomy Meets Public Health: The Case of Shiga Toxin-Producing </w:t>
      </w:r>
      <w:r w:rsidRPr="006A39B9">
        <w:rPr>
          <w:i/>
          <w:lang w:val="en-GB"/>
        </w:rPr>
        <w:t>Escherichia coli</w:t>
      </w:r>
      <w:r w:rsidRPr="00687776">
        <w:rPr>
          <w:lang w:val="en-GB"/>
        </w:rPr>
        <w:t xml:space="preserve">. </w:t>
      </w:r>
      <w:proofErr w:type="spellStart"/>
      <w:r w:rsidRPr="00673C5E">
        <w:t>Microbiol</w:t>
      </w:r>
      <w:proofErr w:type="spellEnd"/>
      <w:r w:rsidRPr="00673C5E">
        <w:t xml:space="preserve"> </w:t>
      </w:r>
      <w:proofErr w:type="spellStart"/>
      <w:r w:rsidRPr="00673C5E">
        <w:t>Spectr</w:t>
      </w:r>
      <w:proofErr w:type="spellEnd"/>
      <w:r w:rsidRPr="00673C5E">
        <w:t>. 2014 Jun;2(3).</w:t>
      </w:r>
    </w:p>
    <w:p w14:paraId="70077814" w14:textId="77777777" w:rsidR="00687776" w:rsidRPr="00687776" w:rsidRDefault="00687776" w:rsidP="00687776">
      <w:pPr>
        <w:rPr>
          <w:lang w:val="nl-BE"/>
        </w:rPr>
      </w:pPr>
      <w:r w:rsidRPr="00687776">
        <w:rPr>
          <w:lang w:val="en-GB"/>
        </w:rPr>
        <w:t xml:space="preserve">2. </w:t>
      </w:r>
      <w:proofErr w:type="spellStart"/>
      <w:r w:rsidRPr="00687776">
        <w:rPr>
          <w:lang w:val="en-GB"/>
        </w:rPr>
        <w:t>Brandal</w:t>
      </w:r>
      <w:proofErr w:type="spellEnd"/>
      <w:r w:rsidRPr="00687776">
        <w:rPr>
          <w:lang w:val="en-GB"/>
        </w:rPr>
        <w:t xml:space="preserve"> LT, </w:t>
      </w:r>
      <w:proofErr w:type="spellStart"/>
      <w:r w:rsidRPr="00687776">
        <w:rPr>
          <w:lang w:val="en-GB"/>
        </w:rPr>
        <w:t>Wester</w:t>
      </w:r>
      <w:proofErr w:type="spellEnd"/>
      <w:r w:rsidRPr="00687776">
        <w:rPr>
          <w:lang w:val="en-GB"/>
        </w:rPr>
        <w:t xml:space="preserve"> AL, Lange H, </w:t>
      </w:r>
      <w:proofErr w:type="spellStart"/>
      <w:r w:rsidRPr="00687776">
        <w:rPr>
          <w:lang w:val="en-GB"/>
        </w:rPr>
        <w:t>Løbersli</w:t>
      </w:r>
      <w:proofErr w:type="spellEnd"/>
      <w:r w:rsidRPr="00687776">
        <w:rPr>
          <w:lang w:val="en-GB"/>
        </w:rPr>
        <w:t xml:space="preserve"> I, </w:t>
      </w:r>
      <w:proofErr w:type="spellStart"/>
      <w:r w:rsidRPr="00687776">
        <w:rPr>
          <w:lang w:val="en-GB"/>
        </w:rPr>
        <w:t>Lindstedt</w:t>
      </w:r>
      <w:proofErr w:type="spellEnd"/>
      <w:r w:rsidRPr="00687776">
        <w:rPr>
          <w:lang w:val="en-GB"/>
        </w:rPr>
        <w:t xml:space="preserve"> BA, </w:t>
      </w:r>
      <w:proofErr w:type="spellStart"/>
      <w:r w:rsidRPr="00687776">
        <w:rPr>
          <w:lang w:val="en-GB"/>
        </w:rPr>
        <w:t>Vold</w:t>
      </w:r>
      <w:proofErr w:type="spellEnd"/>
      <w:r w:rsidRPr="00687776">
        <w:rPr>
          <w:lang w:val="en-GB"/>
        </w:rPr>
        <w:t xml:space="preserve"> L, </w:t>
      </w:r>
      <w:proofErr w:type="spellStart"/>
      <w:r w:rsidRPr="00687776">
        <w:rPr>
          <w:lang w:val="en-GB"/>
        </w:rPr>
        <w:t>Kapperud</w:t>
      </w:r>
      <w:proofErr w:type="spellEnd"/>
      <w:r w:rsidRPr="00687776">
        <w:rPr>
          <w:lang w:val="en-GB"/>
        </w:rPr>
        <w:t xml:space="preserve"> G. Shiga toxin-producing </w:t>
      </w:r>
      <w:r w:rsidRPr="0000571F">
        <w:rPr>
          <w:i/>
          <w:lang w:val="en-GB"/>
        </w:rPr>
        <w:t>Escherichia coli</w:t>
      </w:r>
      <w:r w:rsidRPr="00687776">
        <w:rPr>
          <w:lang w:val="en-GB"/>
        </w:rPr>
        <w:t xml:space="preserve"> infections in Norway, 1992-2012: characterization of isolates and identification of risk factors for haemolytic uremic syndrome. </w:t>
      </w:r>
      <w:r w:rsidRPr="00687776">
        <w:rPr>
          <w:lang w:val="nl-BE"/>
        </w:rPr>
        <w:t>BMC Infect Dis. 2015 Aug 11;15:324.</w:t>
      </w:r>
    </w:p>
    <w:sectPr w:rsidR="00687776" w:rsidRPr="0068777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3C442" w14:textId="77777777" w:rsidR="00C57021" w:rsidRDefault="00C57021" w:rsidP="00EF553C">
      <w:pPr>
        <w:spacing w:after="0" w:line="240" w:lineRule="auto"/>
      </w:pPr>
      <w:r>
        <w:separator/>
      </w:r>
    </w:p>
  </w:endnote>
  <w:endnote w:type="continuationSeparator" w:id="0">
    <w:p w14:paraId="48896E45" w14:textId="77777777" w:rsidR="00C57021" w:rsidRDefault="00C57021" w:rsidP="00EF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909410"/>
      <w:docPartObj>
        <w:docPartGallery w:val="Page Numbers (Bottom of Page)"/>
        <w:docPartUnique/>
      </w:docPartObj>
    </w:sdtPr>
    <w:sdtEndPr>
      <w:rPr>
        <w:noProof/>
      </w:rPr>
    </w:sdtEndPr>
    <w:sdtContent>
      <w:p w14:paraId="6029E055" w14:textId="77777777" w:rsidR="00C57021" w:rsidRDefault="00C57021">
        <w:pPr>
          <w:pStyle w:val="Footer"/>
          <w:jc w:val="right"/>
        </w:pPr>
        <w:r>
          <w:fldChar w:fldCharType="begin"/>
        </w:r>
        <w:r>
          <w:instrText xml:space="preserve"> PAGE   \* MERGEFORMAT </w:instrText>
        </w:r>
        <w:r>
          <w:fldChar w:fldCharType="separate"/>
        </w:r>
        <w:r w:rsidR="00E075EA">
          <w:rPr>
            <w:noProof/>
          </w:rPr>
          <w:t>2</w:t>
        </w:r>
        <w:r>
          <w:rPr>
            <w:noProof/>
          </w:rPr>
          <w:fldChar w:fldCharType="end"/>
        </w:r>
      </w:p>
    </w:sdtContent>
  </w:sdt>
  <w:p w14:paraId="418FF5F8" w14:textId="77777777" w:rsidR="00C57021" w:rsidRDefault="00C57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B900F" w14:textId="77777777" w:rsidR="00C57021" w:rsidRDefault="00C57021" w:rsidP="00EF553C">
      <w:pPr>
        <w:spacing w:after="0" w:line="240" w:lineRule="auto"/>
      </w:pPr>
      <w:r>
        <w:separator/>
      </w:r>
    </w:p>
  </w:footnote>
  <w:footnote w:type="continuationSeparator" w:id="0">
    <w:p w14:paraId="38CA1E39" w14:textId="77777777" w:rsidR="00C57021" w:rsidRDefault="00C57021" w:rsidP="00EF55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8"/>
    <w:rsid w:val="0000165E"/>
    <w:rsid w:val="0000571F"/>
    <w:rsid w:val="00043AE1"/>
    <w:rsid w:val="00045FDD"/>
    <w:rsid w:val="00060EA7"/>
    <w:rsid w:val="000650F2"/>
    <w:rsid w:val="000734B8"/>
    <w:rsid w:val="000863FC"/>
    <w:rsid w:val="000D77EC"/>
    <w:rsid w:val="00184F83"/>
    <w:rsid w:val="001F066E"/>
    <w:rsid w:val="00236584"/>
    <w:rsid w:val="00251948"/>
    <w:rsid w:val="002D50AC"/>
    <w:rsid w:val="003055D2"/>
    <w:rsid w:val="0031564C"/>
    <w:rsid w:val="00365900"/>
    <w:rsid w:val="00371222"/>
    <w:rsid w:val="003A13FE"/>
    <w:rsid w:val="003B340C"/>
    <w:rsid w:val="00457240"/>
    <w:rsid w:val="00465A37"/>
    <w:rsid w:val="00502584"/>
    <w:rsid w:val="00521A9A"/>
    <w:rsid w:val="00586278"/>
    <w:rsid w:val="005B20BE"/>
    <w:rsid w:val="005C1335"/>
    <w:rsid w:val="00614228"/>
    <w:rsid w:val="00673C5E"/>
    <w:rsid w:val="00687776"/>
    <w:rsid w:val="006A39B9"/>
    <w:rsid w:val="007415F1"/>
    <w:rsid w:val="00762B19"/>
    <w:rsid w:val="0080574D"/>
    <w:rsid w:val="00860758"/>
    <w:rsid w:val="00870F4D"/>
    <w:rsid w:val="008A522F"/>
    <w:rsid w:val="008D3236"/>
    <w:rsid w:val="0098051D"/>
    <w:rsid w:val="009A1DF2"/>
    <w:rsid w:val="009E108D"/>
    <w:rsid w:val="00B278B1"/>
    <w:rsid w:val="00B4715D"/>
    <w:rsid w:val="00B64D98"/>
    <w:rsid w:val="00BC6A57"/>
    <w:rsid w:val="00BF1019"/>
    <w:rsid w:val="00C33DF9"/>
    <w:rsid w:val="00C57021"/>
    <w:rsid w:val="00C828D8"/>
    <w:rsid w:val="00CB7280"/>
    <w:rsid w:val="00CC721A"/>
    <w:rsid w:val="00D6022F"/>
    <w:rsid w:val="00D67F14"/>
    <w:rsid w:val="00D8536C"/>
    <w:rsid w:val="00E075EA"/>
    <w:rsid w:val="00EC68FD"/>
    <w:rsid w:val="00EF553C"/>
    <w:rsid w:val="00EF72AF"/>
    <w:rsid w:val="00FC1C24"/>
    <w:rsid w:val="00FE39C3"/>
    <w:rsid w:val="00FE7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5960"/>
  <w15:docId w15:val="{5380F861-A88A-4CF6-9AC3-22B9331F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7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DF9"/>
    <w:pPr>
      <w:spacing w:after="0" w:line="240" w:lineRule="auto"/>
    </w:pPr>
    <w:rPr>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5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4D"/>
    <w:rPr>
      <w:rFonts w:ascii="Tahoma" w:hAnsi="Tahoma" w:cs="Tahoma"/>
      <w:sz w:val="16"/>
      <w:szCs w:val="16"/>
      <w:lang w:val="en-US"/>
    </w:rPr>
  </w:style>
  <w:style w:type="paragraph" w:styleId="Header">
    <w:name w:val="header"/>
    <w:basedOn w:val="Normal"/>
    <w:link w:val="HeaderChar"/>
    <w:uiPriority w:val="99"/>
    <w:unhideWhenUsed/>
    <w:rsid w:val="00EF55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553C"/>
    <w:rPr>
      <w:lang w:val="en-US"/>
    </w:rPr>
  </w:style>
  <w:style w:type="paragraph" w:styleId="Footer">
    <w:name w:val="footer"/>
    <w:basedOn w:val="Normal"/>
    <w:link w:val="FooterChar"/>
    <w:uiPriority w:val="99"/>
    <w:unhideWhenUsed/>
    <w:rsid w:val="00EF55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553C"/>
    <w:rPr>
      <w:lang w:val="en-US"/>
    </w:rPr>
  </w:style>
  <w:style w:type="character" w:styleId="CommentReference">
    <w:name w:val="annotation reference"/>
    <w:basedOn w:val="DefaultParagraphFont"/>
    <w:uiPriority w:val="99"/>
    <w:semiHidden/>
    <w:unhideWhenUsed/>
    <w:rsid w:val="00236584"/>
    <w:rPr>
      <w:sz w:val="16"/>
      <w:szCs w:val="16"/>
    </w:rPr>
  </w:style>
  <w:style w:type="paragraph" w:styleId="CommentText">
    <w:name w:val="annotation text"/>
    <w:basedOn w:val="Normal"/>
    <w:link w:val="CommentTextChar"/>
    <w:uiPriority w:val="99"/>
    <w:semiHidden/>
    <w:unhideWhenUsed/>
    <w:rsid w:val="00236584"/>
    <w:pPr>
      <w:spacing w:line="240" w:lineRule="auto"/>
    </w:pPr>
    <w:rPr>
      <w:sz w:val="20"/>
      <w:szCs w:val="20"/>
    </w:rPr>
  </w:style>
  <w:style w:type="character" w:customStyle="1" w:styleId="CommentTextChar">
    <w:name w:val="Comment Text Char"/>
    <w:basedOn w:val="DefaultParagraphFont"/>
    <w:link w:val="CommentText"/>
    <w:uiPriority w:val="99"/>
    <w:semiHidden/>
    <w:rsid w:val="00236584"/>
    <w:rPr>
      <w:sz w:val="20"/>
      <w:szCs w:val="20"/>
      <w:lang w:val="en-US"/>
    </w:rPr>
  </w:style>
  <w:style w:type="paragraph" w:styleId="CommentSubject">
    <w:name w:val="annotation subject"/>
    <w:basedOn w:val="CommentText"/>
    <w:next w:val="CommentText"/>
    <w:link w:val="CommentSubjectChar"/>
    <w:uiPriority w:val="99"/>
    <w:semiHidden/>
    <w:unhideWhenUsed/>
    <w:rsid w:val="00236584"/>
    <w:rPr>
      <w:b/>
      <w:bCs/>
    </w:rPr>
  </w:style>
  <w:style w:type="character" w:customStyle="1" w:styleId="CommentSubjectChar">
    <w:name w:val="Comment Subject Char"/>
    <w:basedOn w:val="CommentTextChar"/>
    <w:link w:val="CommentSubject"/>
    <w:uiPriority w:val="99"/>
    <w:semiHidden/>
    <w:rsid w:val="00236584"/>
    <w:rPr>
      <w:b/>
      <w:bCs/>
      <w:sz w:val="20"/>
      <w:szCs w:val="20"/>
      <w:lang w:val="en-US"/>
    </w:rPr>
  </w:style>
  <w:style w:type="table" w:styleId="MediumGrid3-Accent3">
    <w:name w:val="Medium Grid 3 Accent 3"/>
    <w:basedOn w:val="TableNormal"/>
    <w:uiPriority w:val="69"/>
    <w:rsid w:val="009E108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AD5C1-634A-40E4-8FA4-E08042F1E6D9}"/>
</file>

<file path=customXml/itemProps2.xml><?xml version="1.0" encoding="utf-8"?>
<ds:datastoreItem xmlns:ds="http://schemas.openxmlformats.org/officeDocument/2006/customXml" ds:itemID="{FE82756C-2455-4A85-9AE4-2270C0DAD256}"/>
</file>

<file path=customXml/itemProps3.xml><?xml version="1.0" encoding="utf-8"?>
<ds:datastoreItem xmlns:ds="http://schemas.openxmlformats.org/officeDocument/2006/customXml" ds:itemID="{AB84AA05-A105-47F4-908F-14D6C052E4EE}"/>
</file>

<file path=customXml/itemProps4.xml><?xml version="1.0" encoding="utf-8"?>
<ds:datastoreItem xmlns:ds="http://schemas.openxmlformats.org/officeDocument/2006/customXml" ds:itemID="{442AE6A3-DEAF-4F98-8F4A-366B8C87E398}"/>
</file>

<file path=docProps/app.xml><?xml version="1.0" encoding="utf-8"?>
<Properties xmlns="http://schemas.openxmlformats.org/officeDocument/2006/extended-properties" xmlns:vt="http://schemas.openxmlformats.org/officeDocument/2006/docPropsVTypes">
  <Template>76715BCF.dotm</Template>
  <TotalTime>40</TotalTime>
  <Pages>3</Pages>
  <Words>910</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UZ Brussel</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 De Rauw</dc:creator>
  <cp:lastModifiedBy>Denis Pierard</cp:lastModifiedBy>
  <cp:revision>8</cp:revision>
  <dcterms:created xsi:type="dcterms:W3CDTF">2017-08-24T09:40:00Z</dcterms:created>
  <dcterms:modified xsi:type="dcterms:W3CDTF">2017-08-25T08:53:00Z</dcterms:modified>
</cp:coreProperties>
</file>